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D246" w14:textId="32643FBB" w:rsidR="00A40F9C" w:rsidRDefault="00A40F9C" w:rsidP="00A40F9C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Оформлюємо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відносини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керівниками,</w:t>
      </w:r>
    </w:p>
    <w:p w14:paraId="34D4FF04" w14:textId="3DFF0803" w:rsidR="00A40F9C" w:rsidRPr="00A40F9C" w:rsidRDefault="00A40F9C" w:rsidP="00A40F9C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працівниками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волонтерами</w:t>
      </w:r>
    </w:p>
    <w:p w14:paraId="331B49A6" w14:textId="77777777" w:rsidR="00A40F9C" w:rsidRPr="00A40F9C" w:rsidRDefault="00A40F9C" w:rsidP="00A40F9C">
      <w:pPr>
        <w:shd w:val="clear" w:color="auto" w:fill="F9F9F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7BE05F32" w14:textId="32754C9F" w:rsidR="00A40F9C" w:rsidRPr="00A40F9C" w:rsidRDefault="00A40F9C" w:rsidP="00A40F9C">
      <w:pPr>
        <w:shd w:val="clear" w:color="auto" w:fill="F9F9F9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proofErr w:type="spellStart"/>
      <w:r w:rsidRPr="00A40F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9F9F9"/>
        </w:rPr>
        <w:t>Світлана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A40F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9F9F9"/>
        </w:rPr>
        <w:t>Лістрова</w:t>
      </w:r>
      <w:proofErr w:type="spellEnd"/>
      <w:r w:rsidRPr="00A40F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9F9F9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A40F9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експерт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A40F9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A40F9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питань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A40F9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бухгалтерського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A40F9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обліку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A40F9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A40F9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оподаткування</w:t>
      </w:r>
      <w:proofErr w:type="spellEnd"/>
    </w:p>
    <w:p w14:paraId="32CA46DB" w14:textId="77777777" w:rsidR="00A40F9C" w:rsidRPr="00A40F9C" w:rsidRDefault="00A40F9C" w:rsidP="00A40F9C">
      <w:pPr>
        <w:shd w:val="clear" w:color="auto" w:fill="F9F9F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6A48025C" w14:textId="61149868" w:rsidR="00A40F9C" w:rsidRPr="00A40F9C" w:rsidRDefault="00A40F9C" w:rsidP="00A40F9C">
      <w:pPr>
        <w:shd w:val="clear" w:color="auto" w:fill="F9F9F9"/>
        <w:spacing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може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керівник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виконувати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обов’язки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без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зарплати?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підприємство,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чому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Держпраці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вимагає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штатний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розпис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під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час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перевірок?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уроці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вивчимо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особливості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оформлення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відносин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благодійних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організаціях,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зокрема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волонтерами</w:t>
      </w:r>
    </w:p>
    <w:p w14:paraId="678F6F51" w14:textId="328340D9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нині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поширене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явище.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hyperlink r:id="rId5" w:anchor="Text" w:tgtFrame="_blank" w:history="1"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Закон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№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3236</w:t>
        </w:r>
      </w:hyperlink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благодійної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ведуть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благодійні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організації.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Залучати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своєї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неприбутковими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внесені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Реєстру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неприбуткових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Зупинімося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особливостях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оформлення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відносин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благодійних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числі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волонтерами.</w:t>
      </w:r>
    </w:p>
    <w:p w14:paraId="3185ED21" w14:textId="2D84076D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Почнемо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очільника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благодійної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(БО):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оформлювати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відносини.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79E6E6C6" w14:textId="25113BA2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може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керівник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виконувати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функції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виплати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зарплати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2A302754" w14:textId="238B95A2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Рішення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утворення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виконавчого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приймає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засновник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уповноважені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засновник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уповноважені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затверджують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установчі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 w:rsidR="00FD08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hyperlink r:id="rId6" w:anchor="Text" w:tgtFrame="_blank" w:history="1"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Закону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№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5073</w:t>
        </w:r>
      </w:hyperlink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).</w:t>
      </w:r>
    </w:p>
    <w:p w14:paraId="14617C7D" w14:textId="130004F1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Установчі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пунктів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частини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hyperlink r:id="rId7" w:anchor="Text" w:tgtFrame="_blank" w:history="1"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Закону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№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5073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повинні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зокрема:</w:t>
      </w:r>
    </w:p>
    <w:p w14:paraId="7AF17902" w14:textId="2F4FF7CE" w:rsidR="00A40F9C" w:rsidRPr="00A40F9C" w:rsidRDefault="00A40F9C" w:rsidP="00A40F9C">
      <w:pPr>
        <w:numPr>
          <w:ilvl w:val="0"/>
          <w:numId w:val="1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склад,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компетенцію,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прийняття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рішень;</w:t>
      </w:r>
    </w:p>
    <w:p w14:paraId="7EA448E9" w14:textId="7B77F5F4" w:rsidR="00A40F9C" w:rsidRPr="00A40F9C" w:rsidRDefault="00A40F9C" w:rsidP="00A21808">
      <w:pPr>
        <w:numPr>
          <w:ilvl w:val="0"/>
          <w:numId w:val="1"/>
        </w:numPr>
        <w:shd w:val="clear" w:color="auto" w:fill="F9F9F9"/>
        <w:spacing w:before="225" w:after="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призначення,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обрання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затвердження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членів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органів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управління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БО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заміщення,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зупинення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повноважень,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припинення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повноважень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(відкликання).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14:paraId="7F8E04D5" w14:textId="6AA1F787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Виконавчий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постійним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членами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декілька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фізичних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осіб,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дієздатність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5073).</w:t>
      </w:r>
    </w:p>
    <w:p w14:paraId="065C58B1" w14:textId="1FD58982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чолі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головою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дирекція,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очолює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одноособовий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директор.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визначають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повноваження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вестиме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діяльність.</w:t>
      </w:r>
    </w:p>
    <w:p w14:paraId="1FC334C7" w14:textId="4FD220AD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Тож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зазначено,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повноваженнями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наділяється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імені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директор,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вказує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відносини.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hyperlink r:id="rId8" w:anchor="Text" w:tgtFrame="_blank" w:history="1"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Класифікаторі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професій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знаходимо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1210.</w:t>
      </w:r>
    </w:p>
    <w:p w14:paraId="1ECC6BCB" w14:textId="755BD926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запитання,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директор)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виконувати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обов'язки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громадських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засадах,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переважна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більшість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юристів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дають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ствердну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наводять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чинне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законодавство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</w:t>
      </w:r>
      <w:hyperlink r:id="rId9" w:anchor="Text" w:tgtFrame="_blank" w:history="1"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Закон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№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5073</w:t>
        </w:r>
      </w:hyperlink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заборони,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питання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вирішують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засновники.</w:t>
      </w:r>
    </w:p>
    <w:p w14:paraId="235018C0" w14:textId="1DCDEFA7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аргумент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слугує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Цивільного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кодексу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України,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юридична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набуває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цивільних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обов'язків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здійснює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установчих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документів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Йдеться,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скоріше,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засновником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функцій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обов'язків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директора)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укладання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договору.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вашій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ухвалили,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виконуватиме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обов'язки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громадських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засадах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(безоплатно),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пропишіть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документах.</w:t>
      </w:r>
    </w:p>
    <w:p w14:paraId="52D23499" w14:textId="1ACE51F6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Названі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спрацюють,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засновників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обіймаючи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директора)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обов'язки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громадських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засадах.</w:t>
      </w:r>
    </w:p>
    <w:p w14:paraId="6538A9EC" w14:textId="13F2F695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законодавстві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терміни,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роботодавець,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керівник.</w:t>
      </w:r>
    </w:p>
    <w:p w14:paraId="49DBA27E" w14:textId="43BF6200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Роботодавець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юридична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(підприємство,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фізична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підприємець,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межах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відносин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використовує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фізичних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осіб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hyperlink r:id="rId10" w:anchor="Text" w:tgtFrame="_blank" w:history="1"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Закону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№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5026</w:t>
        </w:r>
      </w:hyperlink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роботодавця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нашому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випадку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локальні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(порядки,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положення,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інструкції),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графіки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відпусток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графіки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призначає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надбавки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доплати,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видає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(розпорядження).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БО.</w:t>
      </w:r>
    </w:p>
    <w:p w14:paraId="09F59ADC" w14:textId="12A78A50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найманих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працівників,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підписує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податкову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звітність,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буває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бухгалтерський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облік.</w:t>
      </w:r>
    </w:p>
    <w:p w14:paraId="2E42B0A8" w14:textId="5698B4F4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сумніву,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Держпраці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виникнуть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запитання,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перелічені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обов'язки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виконуватиме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безоплатно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громадських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засадах)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оформлення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відносин.</w:t>
      </w:r>
    </w:p>
    <w:p w14:paraId="4F7FE27D" w14:textId="133D20FC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Яка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позиція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органів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контролю,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керівник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виконує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обов'язки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громадських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засадах?</w:t>
      </w:r>
    </w:p>
    <w:p w14:paraId="7820BDDB" w14:textId="4B374AA2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Держпраці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розглядатиме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безоплатне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обов'язків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громадських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засадах)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приховані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відносини.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Інспектори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проведуть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перевірку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навіть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воєнного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порушення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загрожує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фінансовий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підставі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абзацу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частини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КЗпП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розмірі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мінімальних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заробітних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(МЗП)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виявлення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порушення.</w:t>
      </w:r>
    </w:p>
    <w:p w14:paraId="1B2082B5" w14:textId="7AC367BE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допускає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обов'язків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отримання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винагороди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ведеться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припинена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діяльність.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інформація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найманих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осіб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належного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оформлення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відносин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підставою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проведення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фактичної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перевірки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пп</w:t>
      </w:r>
      <w:proofErr w:type="spellEnd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80.2.7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Податкового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кодексу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України;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ПК).</w:t>
      </w:r>
    </w:p>
    <w:p w14:paraId="49430EE1" w14:textId="63CF8DC5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показує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cудова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практика,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неправомірність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претензій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Держпраці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умов:</w:t>
      </w:r>
    </w:p>
    <w:p w14:paraId="2C9E9F43" w14:textId="6984FFBE" w:rsidR="00A40F9C" w:rsidRPr="00A40F9C" w:rsidRDefault="00A40F9C" w:rsidP="00A40F9C">
      <w:pPr>
        <w:numPr>
          <w:ilvl w:val="0"/>
          <w:numId w:val="2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обов'язків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укладення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документах;</w:t>
      </w:r>
    </w:p>
    <w:p w14:paraId="5C5098CB" w14:textId="0AD51D84" w:rsidR="00A40F9C" w:rsidRPr="00A40F9C" w:rsidRDefault="00A40F9C" w:rsidP="00A40F9C">
      <w:pPr>
        <w:numPr>
          <w:ilvl w:val="0"/>
          <w:numId w:val="2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функції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безоплатно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засновників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важливо,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наймані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БО.</w:t>
      </w:r>
    </w:p>
    <w:p w14:paraId="1B027A37" w14:textId="1062A2F6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варто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керуватися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порадами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інтернету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укладати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цивільно-правовий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(ЦПД)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нарахування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винагороди.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укладайте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(керівник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проєкту</w:t>
      </w:r>
      <w:proofErr w:type="spellEnd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консультант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тощо),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штатному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розписі.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предметом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робіт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(надання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послуг),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посадою.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Держпраці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розцінює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ситуації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приховані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відносини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нарахування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зарплати.</w:t>
      </w:r>
    </w:p>
    <w:p w14:paraId="49175AFC" w14:textId="7B3E2CE2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повідомити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контролерів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керівника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особу,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відповідальну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ведення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бухобліку?</w:t>
      </w:r>
    </w:p>
    <w:p w14:paraId="200A4892" w14:textId="325A90EE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Єдиному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державному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реєстрі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містяться,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зокрема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відомості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юридичну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особу:</w:t>
      </w:r>
    </w:p>
    <w:p w14:paraId="458EC668" w14:textId="5D9A4994" w:rsidR="00A40F9C" w:rsidRPr="00A40F9C" w:rsidRDefault="00A40F9C" w:rsidP="00A40F9C">
      <w:pPr>
        <w:numPr>
          <w:ilvl w:val="0"/>
          <w:numId w:val="3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юридичної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особи;</w:t>
      </w:r>
    </w:p>
    <w:p w14:paraId="115E548F" w14:textId="0695CD5E" w:rsidR="00A40F9C" w:rsidRPr="00A40F9C" w:rsidRDefault="00A40F9C" w:rsidP="00A40F9C">
      <w:pPr>
        <w:numPr>
          <w:ilvl w:val="0"/>
          <w:numId w:val="3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юридичної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осіб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наявності),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вчиняти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імені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юридичної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числі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підписувати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договори,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державної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реєстрації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hyperlink r:id="rId11" w:anchor="Text" w:tgtFrame="_blank" w:history="1"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Закону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№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755</w:t>
        </w:r>
      </w:hyperlink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).</w:t>
      </w:r>
    </w:p>
    <w:p w14:paraId="6ADE9E14" w14:textId="1C05AD97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дані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автоматично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передаються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податкових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додатково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інформацію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потрібно.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разі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зміни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керівника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юридичної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особи,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ЄДР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вносять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відповідні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зміни: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цього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подають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документи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переліком,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встановленим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частиною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hyperlink r:id="rId12" w:anchor="Text" w:tgtFrame="_blank" w:history="1"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Закону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№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755</w:t>
        </w:r>
      </w:hyperlink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796364F1" w14:textId="6CB7CFFA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бухгалтерський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облік,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передбачена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головного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бухгалтера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(бухгалтера)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штатному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розписі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БО.</w:t>
      </w:r>
    </w:p>
    <w:p w14:paraId="75245F2B" w14:textId="26856D9B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ведення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бухгалтерського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обліку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покладено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податкового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інформацію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10-денний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взяття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виникнення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облікових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даних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платників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податків.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цього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заяву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1-ОПП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позначкою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«Відомості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відповідальну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ведення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бухгалтерського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та/або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податкового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обліку»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hyperlink r:id="rId13" w:anchor="Text" w:tgtFrame="_blank" w:history="1"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Порядку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№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1588</w:t>
        </w:r>
      </w:hyperlink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).</w:t>
      </w:r>
    </w:p>
    <w:p w14:paraId="0738A579" w14:textId="52A71FD1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прийняли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бухгалтера,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знову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необхідно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заяву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1-ОПП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позначкою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«Відомості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відповідальну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ведення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бухгалтерського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та/або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податкового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обліку»,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заповнити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розділи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заяву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1-ОПП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позначкою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«Відомості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відповідальну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ведення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бухгалтерського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та/або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податкового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обліку»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подайте,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бухгалтера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звільнили,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іншого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прийняли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роботу.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2330D3D9" w14:textId="7777541B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сформувати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штатний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розпис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благодійної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організації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233BEAD9" w14:textId="6AD21044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Настанови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штатний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Господарський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України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частині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64: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підприємство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самостійно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організаційну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структуру,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встановлює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чисельність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штатний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підприємством,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цією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нормою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керується.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Держпраці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вважає,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штатний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обов'язковим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вимагає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перевірок.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бути?</w:t>
      </w:r>
    </w:p>
    <w:p w14:paraId="4CAD5774" w14:textId="59093811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Штатний</w:t>
      </w:r>
      <w:r w:rsidR="00BD253C" w:rsidRPr="00BD2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розпис—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організаційно-розпорядчий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структуру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штатного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складу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організації,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найменування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професій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(посад),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чисельність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персоналу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оклади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кожної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професії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(посади).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корисний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допомагає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роботі,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зокрема,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визначають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оклади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планують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праці.</w:t>
      </w:r>
    </w:p>
    <w:p w14:paraId="3100E811" w14:textId="718782DE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штатного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розпису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потрібно:</w:t>
      </w:r>
    </w:p>
    <w:p w14:paraId="0AD38F5F" w14:textId="306B3095" w:rsidR="00A40F9C" w:rsidRPr="00A40F9C" w:rsidRDefault="00A40F9C" w:rsidP="00A40F9C">
      <w:pPr>
        <w:numPr>
          <w:ilvl w:val="0"/>
          <w:numId w:val="4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врахувати,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скільки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залучити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(ввести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БО;</w:t>
      </w:r>
    </w:p>
    <w:p w14:paraId="712FF604" w14:textId="4D2ACF98" w:rsidR="00A40F9C" w:rsidRPr="00A40F9C" w:rsidRDefault="00A40F9C" w:rsidP="00A40F9C">
      <w:pPr>
        <w:numPr>
          <w:ilvl w:val="0"/>
          <w:numId w:val="4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зазначити,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функції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будуть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виконувати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(опис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функцій);</w:t>
      </w:r>
    </w:p>
    <w:p w14:paraId="57FDF4BB" w14:textId="635106BF" w:rsidR="00A40F9C" w:rsidRPr="00A40F9C" w:rsidRDefault="00A40F9C" w:rsidP="00A40F9C">
      <w:pPr>
        <w:numPr>
          <w:ilvl w:val="0"/>
          <w:numId w:val="4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підібрати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підходящі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(професій)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необхідної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(функцій)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урахуванням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(професій)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Класифікатором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професій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hyperlink r:id="rId14" w:anchor="Text" w:tgtFrame="_blank" w:history="1"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Довідником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№336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іншими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галузевими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довідниками;</w:t>
      </w:r>
    </w:p>
    <w:p w14:paraId="44A29EBF" w14:textId="58D56330" w:rsidR="00A40F9C" w:rsidRPr="00A40F9C" w:rsidRDefault="00A40F9C" w:rsidP="00A40F9C">
      <w:pPr>
        <w:numPr>
          <w:ilvl w:val="0"/>
          <w:numId w:val="4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кількість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штатних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одиниць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залежно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обсягу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кожною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(професією);</w:t>
      </w:r>
    </w:p>
    <w:p w14:paraId="2DB0E60C" w14:textId="523A77DB" w:rsidR="00A40F9C" w:rsidRPr="00A40F9C" w:rsidRDefault="00A40F9C" w:rsidP="00A40F9C">
      <w:pPr>
        <w:numPr>
          <w:ilvl w:val="0"/>
          <w:numId w:val="4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вказати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посадові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(місячні)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оклади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згідно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локальним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затвердженим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частини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КЗпП;</w:t>
      </w:r>
    </w:p>
    <w:p w14:paraId="2BCF4777" w14:textId="5F814335" w:rsidR="00A40F9C" w:rsidRPr="00A40F9C" w:rsidRDefault="00A40F9C" w:rsidP="00315652">
      <w:pPr>
        <w:numPr>
          <w:ilvl w:val="0"/>
          <w:numId w:val="4"/>
        </w:numPr>
        <w:shd w:val="clear" w:color="auto" w:fill="F9F9F9"/>
        <w:spacing w:before="225" w:after="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включити також надбавки та доплати постійного характеру (якщо такі передбачені). </w:t>
      </w:r>
    </w:p>
    <w:p w14:paraId="49F56A2F" w14:textId="5217DFCF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штатний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незалежно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передбачені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повноваження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установчим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Кошториси,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штатні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розписи,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посадові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інструкції,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програми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особисто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пункту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глави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розділу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hyperlink r:id="rId15" w:anchor="Text" w:tgtFrame="_blank" w:history="1"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Правил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1000/5</w:t>
        </w:r>
      </w:hyperlink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діловодства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поширюються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всіх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юросіб</w:t>
      </w:r>
      <w:proofErr w:type="spellEnd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включаючи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організаційно-розпорядчих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потрібно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прописати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інструкції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діловодства,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БО.</w:t>
      </w:r>
    </w:p>
    <w:p w14:paraId="66F771A0" w14:textId="3821A1E7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штатному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розписі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посадові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оклади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навіть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рівні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мінзарплати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трохи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вище.</w:t>
      </w:r>
    </w:p>
    <w:p w14:paraId="48FA42F7" w14:textId="7386186B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Оформлюємо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роботу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працівників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43E7DB2B" w14:textId="65B5D4FC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поширюється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законодавство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загальнообов’язкове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державне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соціальне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страхування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соціальне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hyperlink r:id="rId16" w:anchor="Text" w:tgtFrame="_blank" w:history="1"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Закону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№</w:t>
        </w:r>
        <w:r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 xml:space="preserve"> </w:t>
        </w:r>
        <w:r w:rsidRPr="00A40F9C">
          <w:rPr>
            <w:rFonts w:ascii="Times New Roman" w:eastAsia="Times New Roman" w:hAnsi="Times New Roman" w:cs="Times New Roman"/>
            <w:color w:val="2B73D5"/>
            <w:sz w:val="24"/>
            <w:szCs w:val="24"/>
            <w:lang w:val="uk-UA" w:eastAsia="uk-UA"/>
          </w:rPr>
          <w:t>3236</w:t>
        </w:r>
      </w:hyperlink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вимоги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КЗпП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підзаконних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актів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поширюються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БО.</w:t>
      </w:r>
    </w:p>
    <w:p w14:paraId="30CFC781" w14:textId="13D2FC8F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прийняття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БО:</w:t>
      </w:r>
    </w:p>
    <w:p w14:paraId="2E257343" w14:textId="28211132" w:rsidR="00A40F9C" w:rsidRPr="00A40F9C" w:rsidRDefault="00A40F9C" w:rsidP="00A40F9C">
      <w:pPr>
        <w:numPr>
          <w:ilvl w:val="0"/>
          <w:numId w:val="5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кандидат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заяву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прийняття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випадках,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передбачених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законодавством,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оформлюють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письмовій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формі);</w:t>
      </w:r>
    </w:p>
    <w:p w14:paraId="6DC38B2F" w14:textId="415F7B19" w:rsidR="00A40F9C" w:rsidRPr="00A40F9C" w:rsidRDefault="00A40F9C" w:rsidP="00A40F9C">
      <w:pPr>
        <w:numPr>
          <w:ilvl w:val="0"/>
          <w:numId w:val="5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видає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прийняття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зазначає: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назву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професії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структурного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підрозділу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наявності);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починається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(оклад,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доплати,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премії);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графік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відрізняється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встановлених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внутрішнього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розпорядку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(ПВТР);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альтернативні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комунікації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майбутнім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потреби)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способи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інформування;</w:t>
      </w:r>
    </w:p>
    <w:p w14:paraId="01BF6C9C" w14:textId="550A6CEF" w:rsidR="00A40F9C" w:rsidRPr="00A40F9C" w:rsidRDefault="00A40F9C" w:rsidP="00A40F9C">
      <w:pPr>
        <w:numPr>
          <w:ilvl w:val="0"/>
          <w:numId w:val="5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уповноважена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повідомлення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прийняття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роботу;</w:t>
      </w:r>
    </w:p>
    <w:p w14:paraId="27B64AC1" w14:textId="31967E57" w:rsidR="00A40F9C" w:rsidRPr="00A40F9C" w:rsidRDefault="00A40F9C" w:rsidP="00A40F9C">
      <w:pPr>
        <w:numPr>
          <w:ilvl w:val="0"/>
          <w:numId w:val="5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інформує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початком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частини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КЗпП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функцію,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початку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обов’язки,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місце;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ПВТР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встановлення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режиму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тривалість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робочого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відпочинку,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положення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колдоговору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укладення);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проходження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інструктажу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охорони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виробничої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санітарії,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гігієни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протипожежної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охорони;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тривалість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щорічної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відпустки,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розмір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процедуру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встановлені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КЗпП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попередження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припинення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договору;</w:t>
      </w:r>
    </w:p>
    <w:p w14:paraId="175E9CCB" w14:textId="26CDDBC3" w:rsidR="00A40F9C" w:rsidRPr="00A40F9C" w:rsidRDefault="00A40F9C" w:rsidP="00A40F9C">
      <w:pPr>
        <w:numPr>
          <w:ilvl w:val="0"/>
          <w:numId w:val="5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початком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ознайомлюють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посадовою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інструкцією.</w:t>
      </w:r>
    </w:p>
    <w:p w14:paraId="78A86609" w14:textId="62650C24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стандартна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процедура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прийняття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передбачені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деякі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особливості,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варто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врахувати.</w:t>
      </w:r>
    </w:p>
    <w:p w14:paraId="6F5F7196" w14:textId="5700BB39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По-перше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укладати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сумісниками,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неповною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зайнятістю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нефіксованим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робочим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(кількість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останніх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обмежена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21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КЗпП).</w:t>
      </w:r>
    </w:p>
    <w:p w14:paraId="3B956D52" w14:textId="6F16ECEC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По-друге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ПВТР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обов'язковим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всіх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юросіб</w:t>
      </w:r>
      <w:proofErr w:type="spellEnd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включаючи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КЗпП).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встановлені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інші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режими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зазначають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прийняття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неповний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індивідуальний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графік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гнучкий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робочого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тощо.</w:t>
      </w:r>
    </w:p>
    <w:p w14:paraId="6E8FB6EE" w14:textId="5ED3A74C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По-третє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колективний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укладається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ініціативою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однієї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сторін.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відсутності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ініціативи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Положення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погоджуючи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уповноваженим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представником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колективу.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локальний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мінімальний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встановлює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працівників,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зарплати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урахуванням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КЗпП.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ньому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варто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прописати,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оплачувати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робочого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часу.</w:t>
      </w:r>
    </w:p>
    <w:p w14:paraId="1A69C7FE" w14:textId="6E3199A6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По-четверте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кожну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(професію)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інструкцію,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ознайомлюють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початком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роботи.</w:t>
      </w:r>
    </w:p>
    <w:p w14:paraId="672A14BE" w14:textId="3D6663B4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По-п'яте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посаду,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передбачену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штатним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розписом,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2—4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неповною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зайнятістю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основним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місцем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сумісники).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Наприклад,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зайнятістю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зайнятістю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0,25.</w:t>
      </w:r>
    </w:p>
    <w:p w14:paraId="546AA313" w14:textId="6C0810F9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Зверніть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увагу!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приймаєте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період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реалізації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конкретного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проєкту</w:t>
      </w:r>
      <w:proofErr w:type="spellEnd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ліпше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укладіть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строковий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трудовий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договір.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прийміть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безстроково,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реалізації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кількох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одночасно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межах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робочого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часу.</w:t>
      </w:r>
    </w:p>
    <w:p w14:paraId="659E9592" w14:textId="7334551F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Нараховуємо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виплачуємо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зарплату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0FDCE6F9" w14:textId="7C5EC697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роботодавець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зобов'язаний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достовірний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виконуваної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бухгалтерський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праці[9]).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цією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метою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ведуть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табель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обліку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робочого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типова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встановлена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489[10].</w:t>
      </w:r>
    </w:p>
    <w:p w14:paraId="28958546" w14:textId="02AAA578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Підставою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нарахування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зарплати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табель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обліку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робочого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кадрових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питань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встановлення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надбавок,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премій.</w:t>
      </w:r>
    </w:p>
    <w:p w14:paraId="0B26855B" w14:textId="37C8A15B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кожній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зарплати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повідомити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працівника:</w:t>
      </w:r>
    </w:p>
    <w:p w14:paraId="5FD6AD01" w14:textId="56A38C1E" w:rsidR="00A40F9C" w:rsidRPr="00A40F9C" w:rsidRDefault="00A40F9C" w:rsidP="00A40F9C">
      <w:pPr>
        <w:numPr>
          <w:ilvl w:val="0"/>
          <w:numId w:val="6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загальну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зарплати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розшифровкою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виплат;</w:t>
      </w:r>
    </w:p>
    <w:p w14:paraId="49B7DB00" w14:textId="37FFD876" w:rsidR="00A40F9C" w:rsidRPr="00A40F9C" w:rsidRDefault="00A40F9C" w:rsidP="00A40F9C">
      <w:pPr>
        <w:numPr>
          <w:ilvl w:val="0"/>
          <w:numId w:val="6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розміри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підстави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відрахувань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зарплати;</w:t>
      </w:r>
    </w:p>
    <w:p w14:paraId="2D596E76" w14:textId="4CA4CB8C" w:rsidR="00A40F9C" w:rsidRPr="00A40F9C" w:rsidRDefault="00A40F9C" w:rsidP="00A40F9C">
      <w:pPr>
        <w:numPr>
          <w:ilvl w:val="0"/>
          <w:numId w:val="6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заробітної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плати,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належить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праці).</w:t>
      </w:r>
    </w:p>
    <w:p w14:paraId="2D789E7C" w14:textId="1D26D3BC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Зарплату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виплачують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рідше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двох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місяць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проміжком,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перевищує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календарних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днів,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пізніше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днів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закінчення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місяця,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виплачують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зарплату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КЗпП).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Конкретні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встановлюють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локальним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дотримання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строків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обов'язковим.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припадає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вихідний,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зарплату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виплачують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напередодні.</w:t>
      </w:r>
    </w:p>
    <w:p w14:paraId="0764BF03" w14:textId="14DBDCC5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Які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виплати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користь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працівників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впливатимуть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неприбутковий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статус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БО?</w:t>
      </w:r>
    </w:p>
    <w:p w14:paraId="3F007FE6" w14:textId="35AEC0FB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включають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Реєстру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неприбуткових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втратити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статус,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контролюйте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коштів.</w:t>
      </w:r>
    </w:p>
    <w:p w14:paraId="11378209" w14:textId="1F9AF572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однією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перебування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статусі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неприбуткової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заборона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розподілу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доходів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(прибутків)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частини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засновників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(учасників),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членів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організації,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(крім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їхньої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нарахування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єдиного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соціального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внеску),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членів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пов’язаних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осіб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своїх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доходів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виключно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фінансування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видатків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утримання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неприбуткової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організації,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реалізації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(цілей,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завдань)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напрямів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установчими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пп</w:t>
      </w:r>
      <w:proofErr w:type="spellEnd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133.4.1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ПК).</w:t>
      </w:r>
    </w:p>
    <w:p w14:paraId="198440D4" w14:textId="618B3987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стверджує,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період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режиму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воєнного,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надзвичайного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неприбуткові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зможуть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надавати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рахунок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своїх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доходів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благодійну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допомогу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лише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стороннім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(включаючи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військовослужбовців)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загрози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втрати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статусу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неприбутковості.</w:t>
      </w:r>
    </w:p>
    <w:p w14:paraId="01B7C948" w14:textId="72D1EC7B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які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виплати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дозволені,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які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ризиковими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можуть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призвести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втрати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неприбуткового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статусу?</w:t>
      </w:r>
    </w:p>
    <w:p w14:paraId="02B16E7B" w14:textId="4BA3AA64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втрати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неприбуткового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статусу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може:</w:t>
      </w:r>
    </w:p>
    <w:p w14:paraId="6BE81550" w14:textId="403B1F9A" w:rsidR="00A40F9C" w:rsidRPr="00A40F9C" w:rsidRDefault="00A40F9C" w:rsidP="00A40F9C">
      <w:pPr>
        <w:numPr>
          <w:ilvl w:val="0"/>
          <w:numId w:val="7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оплачувати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усіма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складовими,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локальним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(колдоговором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Положенням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праці);</w:t>
      </w:r>
    </w:p>
    <w:p w14:paraId="41868A7B" w14:textId="19393767" w:rsidR="00A40F9C" w:rsidRPr="00A40F9C" w:rsidRDefault="00A40F9C" w:rsidP="00A40F9C">
      <w:pPr>
        <w:numPr>
          <w:ilvl w:val="0"/>
          <w:numId w:val="7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виплачувати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матеріальну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допомогу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складовою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зарплати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передбачена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локальним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роботодавця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(БО);</w:t>
      </w:r>
    </w:p>
    <w:p w14:paraId="617B5C96" w14:textId="722A8C90" w:rsidR="00A40F9C" w:rsidRPr="00A40F9C" w:rsidRDefault="00A40F9C" w:rsidP="00A40F9C">
      <w:pPr>
        <w:numPr>
          <w:ilvl w:val="0"/>
          <w:numId w:val="7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відшкодовувати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відрядженням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БО.</w:t>
      </w:r>
    </w:p>
    <w:p w14:paraId="76312E6B" w14:textId="647BC109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ризикує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втратити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неприбутковий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статус,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виплачує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(надає):</w:t>
      </w:r>
    </w:p>
    <w:p w14:paraId="57CEBA80" w14:textId="488ED376" w:rsidR="00A40F9C" w:rsidRPr="00A40F9C" w:rsidRDefault="00A40F9C" w:rsidP="00A40F9C">
      <w:pPr>
        <w:numPr>
          <w:ilvl w:val="0"/>
          <w:numId w:val="8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нецільову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матеріальну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допомогу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включаючи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мобілізованих,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строковиків,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контрактників,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резервістів;</w:t>
      </w:r>
    </w:p>
    <w:p w14:paraId="30D5B59D" w14:textId="24D2DACE" w:rsidR="00A40F9C" w:rsidRPr="00A40F9C" w:rsidRDefault="00A40F9C" w:rsidP="00A40F9C">
      <w:pPr>
        <w:numPr>
          <w:ilvl w:val="0"/>
          <w:numId w:val="8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подарунки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кваліфікувати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додаткове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благо: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найму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житла;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компенсації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проїзд,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мобільного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зв'язку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виплат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індивідуального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характеру,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належать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праці;</w:t>
      </w:r>
    </w:p>
    <w:p w14:paraId="11A51E35" w14:textId="3B4AD4E3" w:rsidR="00A40F9C" w:rsidRPr="00A40F9C" w:rsidRDefault="00A40F9C" w:rsidP="00A40F9C">
      <w:pPr>
        <w:numPr>
          <w:ilvl w:val="0"/>
          <w:numId w:val="8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страхування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користь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передбачено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законодавчими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установчими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БО);</w:t>
      </w:r>
    </w:p>
    <w:p w14:paraId="06848663" w14:textId="14FF4E33" w:rsidR="00A40F9C" w:rsidRPr="00A40F9C" w:rsidRDefault="00A40F9C" w:rsidP="00A40F9C">
      <w:pPr>
        <w:numPr>
          <w:ilvl w:val="0"/>
          <w:numId w:val="8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компенсацію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власного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компенсацію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пальне.</w:t>
      </w:r>
    </w:p>
    <w:p w14:paraId="2524411C" w14:textId="57B28204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позиція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ДПС,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хоча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пригоді.</w:t>
      </w:r>
    </w:p>
    <w:p w14:paraId="5FFCDD7E" w14:textId="5B2E5E65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Працюємо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волонтерами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02CA031E" w14:textId="130BABF6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допомога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включає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безоплатно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виконують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надають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фізична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добровільно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соціально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спрямовану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неприбуткову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діяльність,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надаючи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допомогу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3236).</w:t>
      </w:r>
    </w:p>
    <w:p w14:paraId="1AE64F4C" w14:textId="196FCCAD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залучають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3236):</w:t>
      </w:r>
    </w:p>
    <w:p w14:paraId="107CCF56" w14:textId="70BCB2D5" w:rsidR="00A40F9C" w:rsidRPr="00A40F9C" w:rsidRDefault="00A40F9C" w:rsidP="00A40F9C">
      <w:pPr>
        <w:numPr>
          <w:ilvl w:val="0"/>
          <w:numId w:val="9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провадити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укладенням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договору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провадження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такого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договору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порядку,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визначеному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Законом;</w:t>
      </w:r>
    </w:p>
    <w:p w14:paraId="1F2ACD9E" w14:textId="65D96EB6" w:rsidR="00A40F9C" w:rsidRPr="00A40F9C" w:rsidRDefault="00A40F9C" w:rsidP="00A40F9C">
      <w:pPr>
        <w:numPr>
          <w:ilvl w:val="0"/>
          <w:numId w:val="9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видавати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посвідчення,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засвідчують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межах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організації;</w:t>
      </w:r>
    </w:p>
    <w:p w14:paraId="481EE2CA" w14:textId="3B8432E6" w:rsidR="00A40F9C" w:rsidRPr="00A40F9C" w:rsidRDefault="00A40F9C" w:rsidP="00A40F9C">
      <w:pPr>
        <w:numPr>
          <w:ilvl w:val="0"/>
          <w:numId w:val="9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відшкодовувати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пов’язані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наданням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допомоги,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передбачені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статтею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цього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Закону;</w:t>
      </w:r>
    </w:p>
    <w:p w14:paraId="63EF48A8" w14:textId="05E40967" w:rsidR="00A40F9C" w:rsidRPr="00A40F9C" w:rsidRDefault="00A40F9C" w:rsidP="00A40F9C">
      <w:pPr>
        <w:numPr>
          <w:ilvl w:val="0"/>
          <w:numId w:val="9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страхувати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життя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здоров’я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період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провадження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України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страхування»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07.03.1996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85/96-ВР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(витрачання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коштів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слід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передбачити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установчими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документами).</w:t>
      </w:r>
    </w:p>
    <w:p w14:paraId="7517C51A" w14:textId="090C987C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провадження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укладають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письмовій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ньому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обумовлюють,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зокрема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відшкодування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поїздок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кордон,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бойових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деокуповані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території.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відшкодовуватиме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пов'язані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наданням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допомоги,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письмова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обов'язковою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3236).</w:t>
      </w:r>
    </w:p>
    <w:p w14:paraId="2BF16B8F" w14:textId="18AE61EF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відшкодувати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кошти,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витрачені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діяльності:</w:t>
      </w:r>
    </w:p>
    <w:p w14:paraId="67B82331" w14:textId="76068841" w:rsidR="00A40F9C" w:rsidRPr="00A40F9C" w:rsidRDefault="00A40F9C" w:rsidP="00A40F9C">
      <w:pPr>
        <w:numPr>
          <w:ilvl w:val="0"/>
          <w:numId w:val="10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отримання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проїзд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(включаючи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перевезення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багажу)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місця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діяльності;</w:t>
      </w:r>
    </w:p>
    <w:p w14:paraId="1E2AEB44" w14:textId="3CFDA05B" w:rsidR="00A40F9C" w:rsidRPr="00A40F9C" w:rsidRDefault="00A40F9C" w:rsidP="00A40F9C">
      <w:pPr>
        <w:numPr>
          <w:ilvl w:val="0"/>
          <w:numId w:val="10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харчування,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триває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більше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добу;</w:t>
      </w:r>
    </w:p>
    <w:p w14:paraId="6F9048B9" w14:textId="0D5FA42A" w:rsidR="00A40F9C" w:rsidRPr="00A40F9C" w:rsidRDefault="00A40F9C" w:rsidP="00A40F9C">
      <w:pPr>
        <w:numPr>
          <w:ilvl w:val="0"/>
          <w:numId w:val="10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проживання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відрядження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іншого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населеного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пункту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триватиме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більше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годин;</w:t>
      </w:r>
    </w:p>
    <w:p w14:paraId="0D42C3D1" w14:textId="43268005" w:rsidR="00A40F9C" w:rsidRPr="00A40F9C" w:rsidRDefault="00A40F9C" w:rsidP="00A40F9C">
      <w:pPr>
        <w:numPr>
          <w:ilvl w:val="0"/>
          <w:numId w:val="10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поштові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телефонні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пов’язані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діяльністю;</w:t>
      </w:r>
    </w:p>
    <w:p w14:paraId="555EDDE6" w14:textId="37199201" w:rsidR="00A40F9C" w:rsidRPr="00A40F9C" w:rsidRDefault="00A40F9C" w:rsidP="00A40F9C">
      <w:pPr>
        <w:numPr>
          <w:ilvl w:val="0"/>
          <w:numId w:val="10"/>
        </w:numPr>
        <w:shd w:val="clear" w:color="auto" w:fill="F9F9F9"/>
        <w:spacing w:before="75" w:after="150" w:line="408" w:lineRule="atLeast"/>
        <w:ind w:left="11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проведення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медичного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огляду,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вакцинації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лікувально-профілактичних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заходів,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безпосередньо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пов'язаних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наданням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допомоги.</w:t>
      </w:r>
    </w:p>
    <w:p w14:paraId="7760EA8E" w14:textId="40BFAED0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Відшкодування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доходом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базою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оподаткування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ПДФО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3236).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важливо,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говорить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01.01.2022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оподатковуються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ПДФО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військовим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збором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відшкодування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неприбутковою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організацією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особі-волонтеру,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укладено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провадження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підтверджених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пов'язаних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наданням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допомоги,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розмірі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переліку,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передбачені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статтею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3236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</w:t>
      </w:r>
      <w:proofErr w:type="spellStart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пп</w:t>
      </w:r>
      <w:proofErr w:type="spellEnd"/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165.1.65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ПК).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Неоподатковуваний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розмір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визначають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межах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відрядження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бюджетних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установ.</w:t>
      </w:r>
    </w:p>
    <w:p w14:paraId="5C1345AA" w14:textId="2311187F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Зазначені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відшкодування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будуть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об'єктом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нарахування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ЄСВ.</w:t>
      </w:r>
    </w:p>
    <w:p w14:paraId="6A64832A" w14:textId="12063D21" w:rsidR="00A40F9C" w:rsidRPr="00A40F9C" w:rsidRDefault="00A40F9C" w:rsidP="00A40F9C">
      <w:pPr>
        <w:shd w:val="clear" w:color="auto" w:fill="F9F9F9"/>
        <w:spacing w:before="225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Отже,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звільнення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оподаткування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відшкодування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потрібно: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передбачити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установчими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документами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обумовити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витрат,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порядок,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розмір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відшкодування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договорі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провадження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волонтерської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0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діяльності.</w:t>
      </w:r>
    </w:p>
    <w:p w14:paraId="7404FA5A" w14:textId="77777777" w:rsidR="0034465C" w:rsidRPr="00A40F9C" w:rsidRDefault="00000000" w:rsidP="00A40F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4465C" w:rsidRPr="00A4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15C9"/>
    <w:multiLevelType w:val="multilevel"/>
    <w:tmpl w:val="CDA6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30BCA"/>
    <w:multiLevelType w:val="multilevel"/>
    <w:tmpl w:val="E2E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755EE"/>
    <w:multiLevelType w:val="multilevel"/>
    <w:tmpl w:val="8D52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D786F"/>
    <w:multiLevelType w:val="multilevel"/>
    <w:tmpl w:val="163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44E4F"/>
    <w:multiLevelType w:val="multilevel"/>
    <w:tmpl w:val="E2F2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148DA"/>
    <w:multiLevelType w:val="multilevel"/>
    <w:tmpl w:val="1B1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7772A"/>
    <w:multiLevelType w:val="multilevel"/>
    <w:tmpl w:val="A58E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42264"/>
    <w:multiLevelType w:val="multilevel"/>
    <w:tmpl w:val="3E2C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C0BC0"/>
    <w:multiLevelType w:val="multilevel"/>
    <w:tmpl w:val="08FC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48244C"/>
    <w:multiLevelType w:val="multilevel"/>
    <w:tmpl w:val="81D6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517515">
    <w:abstractNumId w:val="2"/>
  </w:num>
  <w:num w:numId="2" w16cid:durableId="812984506">
    <w:abstractNumId w:val="7"/>
  </w:num>
  <w:num w:numId="3" w16cid:durableId="841316843">
    <w:abstractNumId w:val="5"/>
  </w:num>
  <w:num w:numId="4" w16cid:durableId="2108842061">
    <w:abstractNumId w:val="1"/>
  </w:num>
  <w:num w:numId="5" w16cid:durableId="964583165">
    <w:abstractNumId w:val="9"/>
  </w:num>
  <w:num w:numId="6" w16cid:durableId="1693605859">
    <w:abstractNumId w:val="8"/>
  </w:num>
  <w:num w:numId="7" w16cid:durableId="1330215208">
    <w:abstractNumId w:val="3"/>
  </w:num>
  <w:num w:numId="8" w16cid:durableId="1109936845">
    <w:abstractNumId w:val="0"/>
  </w:num>
  <w:num w:numId="9" w16cid:durableId="1903520245">
    <w:abstractNumId w:val="6"/>
  </w:num>
  <w:num w:numId="10" w16cid:durableId="467163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9C"/>
    <w:rsid w:val="00A40F9C"/>
    <w:rsid w:val="00BD253C"/>
    <w:rsid w:val="00CF41CB"/>
    <w:rsid w:val="00EF1EE7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6E95"/>
  <w15:chartTrackingRefBased/>
  <w15:docId w15:val="{11A80448-69CC-4C11-8818-0C3AC0D5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0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link w:val="30"/>
    <w:uiPriority w:val="9"/>
    <w:qFormat/>
    <w:rsid w:val="00A40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F9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A40F9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A4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A40F9C"/>
    <w:rPr>
      <w:color w:val="0000FF"/>
      <w:u w:val="single"/>
    </w:rPr>
  </w:style>
  <w:style w:type="character" w:styleId="a5">
    <w:name w:val="Strong"/>
    <w:basedOn w:val="a0"/>
    <w:uiPriority w:val="22"/>
    <w:qFormat/>
    <w:rsid w:val="00A40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05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0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a327609-10" TargetMode="External"/><Relationship Id="rId13" Type="http://schemas.openxmlformats.org/officeDocument/2006/relationships/hyperlink" Target="https://zakon.rada.gov.ua/laws/show/z1562-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073-17" TargetMode="External"/><Relationship Id="rId12" Type="http://schemas.openxmlformats.org/officeDocument/2006/relationships/hyperlink" Target="https://zakon.rada.gov.ua/laws/show/755-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3236-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073-17" TargetMode="External"/><Relationship Id="rId11" Type="http://schemas.openxmlformats.org/officeDocument/2006/relationships/hyperlink" Target="https://zakon.rada.gov.ua/laws/show/755-15" TargetMode="External"/><Relationship Id="rId5" Type="http://schemas.openxmlformats.org/officeDocument/2006/relationships/hyperlink" Target="https://zakon.rada.gov.ua/laws/show/3236-17" TargetMode="External"/><Relationship Id="rId15" Type="http://schemas.openxmlformats.org/officeDocument/2006/relationships/hyperlink" Target="https://zakon.rada.gov.ua/laws/show/z0736-15" TargetMode="External"/><Relationship Id="rId10" Type="http://schemas.openxmlformats.org/officeDocument/2006/relationships/hyperlink" Target="https://zakon.rada.gov.ua/laws/show/5026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073-17" TargetMode="External"/><Relationship Id="rId14" Type="http://schemas.openxmlformats.org/officeDocument/2006/relationships/hyperlink" Target="https://zakon.rada.gov.ua/rada/show/n0001203-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2925</Words>
  <Characters>16674</Characters>
  <Application>Microsoft Office Word</Application>
  <DocSecurity>0</DocSecurity>
  <Lines>138</Lines>
  <Paragraphs>39</Paragraphs>
  <ScaleCrop>false</ScaleCrop>
  <Company/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Гончар</dc:creator>
  <cp:keywords/>
  <dc:description/>
  <cp:lastModifiedBy>Тетяна Іващенко</cp:lastModifiedBy>
  <cp:revision>3</cp:revision>
  <dcterms:created xsi:type="dcterms:W3CDTF">2023-03-07T10:31:00Z</dcterms:created>
  <dcterms:modified xsi:type="dcterms:W3CDTF">2023-03-07T13:37:00Z</dcterms:modified>
</cp:coreProperties>
</file>