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30652" w:rsidP="00730652" w:rsidRDefault="00730652" w14:paraId="020923A8" w14:textId="77777777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pPr>
    </w:p>
    <w:p w:rsidRPr="00730652" w:rsidR="00730652" w:rsidP="00730652" w:rsidRDefault="00730652" w14:paraId="285562CC" w14:textId="00ACCAF6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Чек-ліст: </w:t>
      </w:r>
      <w:r w:rsidRPr="00730652"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Об’єкти та строки річної інвентаризації</w:t>
      </w:r>
    </w:p>
    <w:p w:rsidRPr="00000A1D" w:rsidR="00730652" w:rsidP="00730652" w:rsidRDefault="00730652" w14:paraId="6EBBFED4" w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675"/>
        <w:gridCol w:w="4669"/>
      </w:tblGrid>
      <w:tr w:rsidRPr="00000A1D" w:rsidR="00730652" w:rsidTr="0051500A" w14:paraId="76794DF3" w14:textId="77777777">
        <w:tc>
          <w:tcPr>
            <w:tcW w:w="5341" w:type="dxa"/>
            <w:shd w:val="clear" w:color="auto" w:fill="92D050"/>
          </w:tcPr>
          <w:p w:rsidRPr="00000A1D" w:rsidR="00730652" w:rsidP="0051500A" w:rsidRDefault="00730652" w14:paraId="3D2BF93C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 w:rsidRPr="00000A1D"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Активи</w:t>
            </w:r>
          </w:p>
        </w:tc>
        <w:tc>
          <w:tcPr>
            <w:tcW w:w="5341" w:type="dxa"/>
            <w:shd w:val="clear" w:color="auto" w:fill="92D050"/>
          </w:tcPr>
          <w:p w:rsidRPr="00000A1D" w:rsidR="00730652" w:rsidP="0051500A" w:rsidRDefault="00730652" w14:paraId="5B055421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 w:rsidRPr="00000A1D"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Зобов’язання</w:t>
            </w:r>
          </w:p>
        </w:tc>
      </w:tr>
      <w:tr w:rsidRPr="00000A1D" w:rsidR="00730652" w:rsidTr="0051500A" w14:paraId="594F6722" w14:textId="77777777">
        <w:tc>
          <w:tcPr>
            <w:tcW w:w="10682" w:type="dxa"/>
            <w:gridSpan w:val="2"/>
            <w:shd w:val="clear" w:color="auto" w:fill="auto"/>
          </w:tcPr>
          <w:p w:rsidRPr="00000A1D" w:rsidR="00730652" w:rsidP="0051500A" w:rsidRDefault="00730652" w14:paraId="26B06CEC" w14:textId="6CB0E6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 w:rsidRPr="00000A1D">
              <w:rPr>
                <w:rFonts w:ascii="Times New Roman" w:hAnsi="Times New Roman" w:eastAsia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2967D442" wp14:editId="3503C532">
                  <wp:extent cx="295275" cy="295275"/>
                  <wp:effectExtent l="0" t="0" r="9525" b="9525"/>
                  <wp:docPr id="2" name="Рисунок 2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Із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жовтня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грудня</w:t>
            </w:r>
          </w:p>
        </w:tc>
      </w:tr>
      <w:tr w:rsidRPr="00000A1D" w:rsidR="00730652" w:rsidTr="0051500A" w14:paraId="29B253D0" w14:textId="77777777">
        <w:tc>
          <w:tcPr>
            <w:tcW w:w="5341" w:type="dxa"/>
            <w:shd w:val="clear" w:color="auto" w:fill="auto"/>
          </w:tcPr>
          <w:p w:rsidRPr="00000A1D" w:rsidR="00730652" w:rsidP="0051500A" w:rsidRDefault="00730652" w14:paraId="5634758B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 w:rsidRPr="00000A1D">
              <w:rPr>
                <w:rFonts w:ascii="Wingdings" w:hAnsi="Wingdings" w:eastAsia="Wingdings" w:cs="Wingdings"/>
                <w:color w:val="000000"/>
                <w:sz w:val="24"/>
                <w:szCs w:val="24"/>
              </w:rPr>
              <w:t>¨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Дебіторська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заборгованість</w:t>
            </w:r>
          </w:p>
        </w:tc>
        <w:tc>
          <w:tcPr>
            <w:tcW w:w="5341" w:type="dxa"/>
            <w:shd w:val="clear" w:color="auto" w:fill="auto"/>
          </w:tcPr>
          <w:p w:rsidRPr="00000A1D" w:rsidR="00730652" w:rsidP="0051500A" w:rsidRDefault="00730652" w14:paraId="358E2871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 w:rsidRPr="00000A1D">
              <w:rPr>
                <w:rFonts w:ascii="Wingdings" w:hAnsi="Wingdings" w:eastAsia="Wingdings" w:cs="Wingdings"/>
                <w:color w:val="000000"/>
                <w:sz w:val="24"/>
                <w:szCs w:val="24"/>
              </w:rPr>
              <w:t>¨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Кредиторська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заборгованість</w:t>
            </w:r>
          </w:p>
        </w:tc>
      </w:tr>
      <w:tr w:rsidRPr="00000A1D" w:rsidR="00730652" w:rsidTr="0051500A" w14:paraId="526727F6" w14:textId="77777777">
        <w:tc>
          <w:tcPr>
            <w:tcW w:w="5341" w:type="dxa"/>
            <w:shd w:val="clear" w:color="auto" w:fill="auto"/>
          </w:tcPr>
          <w:p w:rsidRPr="00000A1D" w:rsidR="00730652" w:rsidP="0051500A" w:rsidRDefault="00730652" w14:paraId="39462775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 w:rsidRPr="00000A1D">
              <w:rPr>
                <w:rFonts w:ascii="Wingdings" w:hAnsi="Wingdings" w:eastAsia="Wingdings" w:cs="Wingdings"/>
                <w:color w:val="000000"/>
                <w:sz w:val="24"/>
                <w:szCs w:val="24"/>
              </w:rPr>
              <w:t>¨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Необоротні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активи,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винятком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незавершених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капітальних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інвестицій</w:t>
            </w:r>
          </w:p>
        </w:tc>
        <w:tc>
          <w:tcPr>
            <w:tcW w:w="5341" w:type="dxa"/>
            <w:shd w:val="clear" w:color="auto" w:fill="auto"/>
          </w:tcPr>
          <w:p w:rsidRPr="00000A1D" w:rsidR="00730652" w:rsidP="0051500A" w:rsidRDefault="00730652" w14:paraId="536485A0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 w:rsidRPr="00000A1D">
              <w:rPr>
                <w:rFonts w:ascii="Wingdings" w:hAnsi="Wingdings" w:eastAsia="Wingdings" w:cs="Wingdings"/>
                <w:color w:val="000000"/>
                <w:sz w:val="24"/>
                <w:szCs w:val="24"/>
              </w:rPr>
              <w:t>¨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Доходи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майбутніх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періодів</w:t>
            </w:r>
          </w:p>
        </w:tc>
      </w:tr>
      <w:tr w:rsidRPr="00000A1D" w:rsidR="00730652" w:rsidTr="0051500A" w14:paraId="1693748A" w14:textId="77777777">
        <w:tc>
          <w:tcPr>
            <w:tcW w:w="5341" w:type="dxa"/>
            <w:shd w:val="clear" w:color="auto" w:fill="auto"/>
          </w:tcPr>
          <w:p w:rsidRPr="00000A1D" w:rsidR="00730652" w:rsidP="0051500A" w:rsidRDefault="00730652" w14:paraId="5A74E43A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 w:rsidRPr="00000A1D">
              <w:rPr>
                <w:rFonts w:ascii="Wingdings" w:hAnsi="Wingdings" w:eastAsia="Wingdings" w:cs="Wingdings"/>
                <w:color w:val="000000"/>
                <w:sz w:val="24"/>
                <w:szCs w:val="24"/>
              </w:rPr>
              <w:t>¨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Запаси,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винятком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незавершеного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виробництва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напівфабрикатів</w:t>
            </w:r>
          </w:p>
        </w:tc>
        <w:tc>
          <w:tcPr>
            <w:tcW w:w="5341" w:type="dxa"/>
            <w:vMerge w:val="restart"/>
            <w:shd w:val="clear" w:color="auto" w:fill="auto"/>
          </w:tcPr>
          <w:p w:rsidRPr="00000A1D" w:rsidR="00730652" w:rsidP="0051500A" w:rsidRDefault="00730652" w14:paraId="5164796F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 w:rsidRPr="00000A1D">
              <w:rPr>
                <w:rFonts w:ascii="Wingdings" w:hAnsi="Wingdings" w:eastAsia="Wingdings" w:cs="Wingdings"/>
                <w:color w:val="000000"/>
                <w:sz w:val="24"/>
                <w:szCs w:val="24"/>
              </w:rPr>
              <w:t>¨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Зобов’язання,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окрім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невикористаних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забезпечень,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розрахунків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із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бюджетом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податками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зборами,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розрахунків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ЄСВ</w:t>
            </w:r>
          </w:p>
        </w:tc>
      </w:tr>
      <w:tr w:rsidRPr="00000A1D" w:rsidR="00730652" w:rsidTr="0051500A" w14:paraId="497F5A8B" w14:textId="77777777">
        <w:tc>
          <w:tcPr>
            <w:tcW w:w="5341" w:type="dxa"/>
            <w:shd w:val="clear" w:color="auto" w:fill="auto"/>
          </w:tcPr>
          <w:p w:rsidRPr="00000A1D" w:rsidR="00730652" w:rsidP="0051500A" w:rsidRDefault="00730652" w14:paraId="31EA841C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 w:rsidRPr="00000A1D">
              <w:rPr>
                <w:rFonts w:ascii="Wingdings" w:hAnsi="Wingdings" w:eastAsia="Wingdings" w:cs="Wingdings"/>
                <w:color w:val="000000"/>
                <w:sz w:val="24"/>
                <w:szCs w:val="24"/>
              </w:rPr>
              <w:t>¨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Поточні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біологічні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активи</w:t>
            </w:r>
          </w:p>
        </w:tc>
        <w:tc>
          <w:tcPr>
            <w:tcW w:w="5341" w:type="dxa"/>
            <w:vMerge/>
            <w:shd w:val="clear" w:color="auto" w:fill="auto"/>
          </w:tcPr>
          <w:p w:rsidRPr="00000A1D" w:rsidR="00730652" w:rsidP="0051500A" w:rsidRDefault="00730652" w14:paraId="0CDB05EF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</w:tr>
      <w:tr w:rsidRPr="00000A1D" w:rsidR="00730652" w:rsidTr="0051500A" w14:paraId="11A2FC4D" w14:textId="77777777">
        <w:tc>
          <w:tcPr>
            <w:tcW w:w="5341" w:type="dxa"/>
            <w:shd w:val="clear" w:color="auto" w:fill="auto"/>
          </w:tcPr>
          <w:p w:rsidRPr="00000A1D" w:rsidR="00730652" w:rsidP="0051500A" w:rsidRDefault="00730652" w14:paraId="35C17398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 w:rsidRPr="00000A1D">
              <w:rPr>
                <w:rFonts w:ascii="Wingdings" w:hAnsi="Wingdings" w:eastAsia="Wingdings" w:cs="Wingdings"/>
                <w:color w:val="000000"/>
                <w:sz w:val="24"/>
                <w:szCs w:val="24"/>
              </w:rPr>
              <w:t>¨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Витрати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майбутніх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періодів</w:t>
            </w:r>
          </w:p>
        </w:tc>
        <w:tc>
          <w:tcPr>
            <w:tcW w:w="5341" w:type="dxa"/>
            <w:vMerge/>
            <w:shd w:val="clear" w:color="auto" w:fill="auto"/>
          </w:tcPr>
          <w:p w:rsidRPr="00000A1D" w:rsidR="00730652" w:rsidP="0051500A" w:rsidRDefault="00730652" w14:paraId="597C53AD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</w:tr>
      <w:tr w:rsidRPr="00000A1D" w:rsidR="00730652" w:rsidTr="0051500A" w14:paraId="3E2EC4BE" w14:textId="77777777">
        <w:tc>
          <w:tcPr>
            <w:tcW w:w="10682" w:type="dxa"/>
            <w:gridSpan w:val="2"/>
            <w:shd w:val="clear" w:color="auto" w:fill="auto"/>
          </w:tcPr>
          <w:p w:rsidRPr="00000A1D" w:rsidR="00730652" w:rsidP="0051500A" w:rsidRDefault="00730652" w14:paraId="34B5D164" w14:textId="2B030F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 w:rsidRPr="00000A1D">
              <w:rPr>
                <w:rFonts w:ascii="Times New Roman" w:hAnsi="Times New Roman" w:eastAsia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0F46C08C" wp14:editId="0A4242A3">
                  <wp:extent cx="295275" cy="295275"/>
                  <wp:effectExtent l="0" t="0" r="9525" b="9525"/>
                  <wp:docPr id="1" name="Рисунок 1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Із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листопада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грудня</w:t>
            </w:r>
          </w:p>
        </w:tc>
      </w:tr>
      <w:tr w:rsidRPr="00000A1D" w:rsidR="00730652" w:rsidTr="0051500A" w14:paraId="3B4437B3" w14:textId="77777777">
        <w:tc>
          <w:tcPr>
            <w:tcW w:w="5341" w:type="dxa"/>
            <w:shd w:val="clear" w:color="auto" w:fill="auto"/>
          </w:tcPr>
          <w:p w:rsidRPr="00000A1D" w:rsidR="00730652" w:rsidP="0051500A" w:rsidRDefault="00730652" w14:paraId="233E7794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 w:rsidRPr="00000A1D">
              <w:rPr>
                <w:rFonts w:ascii="Wingdings" w:hAnsi="Wingdings" w:eastAsia="Wingdings" w:cs="Wingdings"/>
                <w:color w:val="000000"/>
                <w:sz w:val="24"/>
                <w:szCs w:val="24"/>
              </w:rPr>
              <w:t>¨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Незавершені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капітальні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інвестиції</w:t>
            </w:r>
          </w:p>
        </w:tc>
        <w:tc>
          <w:tcPr>
            <w:tcW w:w="5341" w:type="dxa"/>
            <w:shd w:val="clear" w:color="auto" w:fill="auto"/>
          </w:tcPr>
          <w:p w:rsidRPr="00000A1D" w:rsidR="00730652" w:rsidP="0051500A" w:rsidRDefault="00730652" w14:paraId="2E7E3857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 w:rsidRPr="00000A1D">
              <w:rPr>
                <w:rFonts w:ascii="Wingdings" w:hAnsi="Wingdings" w:eastAsia="Wingdings" w:cs="Wingdings"/>
                <w:color w:val="000000"/>
                <w:sz w:val="24"/>
                <w:szCs w:val="24"/>
              </w:rPr>
              <w:t>¨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Цільове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фінансування</w:t>
            </w:r>
          </w:p>
        </w:tc>
      </w:tr>
      <w:tr w:rsidRPr="00000A1D" w:rsidR="00730652" w:rsidTr="0051500A" w14:paraId="7F01CAAF" w14:textId="77777777">
        <w:tc>
          <w:tcPr>
            <w:tcW w:w="5341" w:type="dxa"/>
            <w:shd w:val="clear" w:color="auto" w:fill="auto"/>
          </w:tcPr>
          <w:p w:rsidRPr="00000A1D" w:rsidR="00730652" w:rsidP="0051500A" w:rsidRDefault="00730652" w14:paraId="43199C8D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 w:rsidRPr="00000A1D">
              <w:rPr>
                <w:rFonts w:ascii="Wingdings" w:hAnsi="Wingdings" w:eastAsia="Wingdings" w:cs="Wingdings"/>
                <w:color w:val="000000"/>
                <w:sz w:val="24"/>
                <w:szCs w:val="24"/>
              </w:rPr>
              <w:t>¨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Незавершене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виробництво</w:t>
            </w:r>
          </w:p>
        </w:tc>
        <w:tc>
          <w:tcPr>
            <w:tcW w:w="5341" w:type="dxa"/>
            <w:shd w:val="clear" w:color="auto" w:fill="auto"/>
          </w:tcPr>
          <w:p w:rsidRPr="00000A1D" w:rsidR="00730652" w:rsidP="0051500A" w:rsidRDefault="00730652" w14:paraId="4897B4D9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 w:rsidRPr="00000A1D">
              <w:rPr>
                <w:rFonts w:ascii="Wingdings" w:hAnsi="Wingdings" w:eastAsia="Wingdings" w:cs="Wingdings"/>
                <w:color w:val="000000"/>
                <w:sz w:val="24"/>
                <w:szCs w:val="24"/>
              </w:rPr>
              <w:t>¨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Розрахунки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ЄСВ</w:t>
            </w:r>
          </w:p>
        </w:tc>
      </w:tr>
      <w:tr w:rsidRPr="00000A1D" w:rsidR="00730652" w:rsidTr="0051500A" w14:paraId="15F8CE88" w14:textId="77777777">
        <w:tc>
          <w:tcPr>
            <w:tcW w:w="5341" w:type="dxa"/>
            <w:shd w:val="clear" w:color="auto" w:fill="auto"/>
          </w:tcPr>
          <w:p w:rsidRPr="00000A1D" w:rsidR="00730652" w:rsidP="0051500A" w:rsidRDefault="00730652" w14:paraId="02C9A453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 w:rsidRPr="00000A1D">
              <w:rPr>
                <w:rFonts w:ascii="Wingdings" w:hAnsi="Wingdings" w:eastAsia="Wingdings" w:cs="Wingdings"/>
                <w:color w:val="000000"/>
                <w:sz w:val="24"/>
                <w:szCs w:val="24"/>
              </w:rPr>
              <w:t>¨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Напівфабрикати</w:t>
            </w:r>
          </w:p>
        </w:tc>
        <w:tc>
          <w:tcPr>
            <w:tcW w:w="5341" w:type="dxa"/>
            <w:shd w:val="clear" w:color="auto" w:fill="auto"/>
          </w:tcPr>
          <w:p w:rsidRPr="00000A1D" w:rsidR="00730652" w:rsidP="0051500A" w:rsidRDefault="00730652" w14:paraId="0CB1A44D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 w:rsidRPr="00000A1D">
              <w:rPr>
                <w:rFonts w:ascii="Wingdings" w:hAnsi="Wingdings" w:eastAsia="Wingdings" w:cs="Wingdings"/>
                <w:color w:val="000000"/>
                <w:sz w:val="24"/>
                <w:szCs w:val="24"/>
              </w:rPr>
              <w:t>¨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Розрахунки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бюджетом</w:t>
            </w:r>
          </w:p>
        </w:tc>
      </w:tr>
      <w:tr w:rsidRPr="00000A1D" w:rsidR="00730652" w:rsidTr="0051500A" w14:paraId="5D7C7E1E" w14:textId="77777777">
        <w:tc>
          <w:tcPr>
            <w:tcW w:w="5341" w:type="dxa"/>
            <w:shd w:val="clear" w:color="auto" w:fill="auto"/>
          </w:tcPr>
          <w:p w:rsidRPr="00000A1D" w:rsidR="00730652" w:rsidP="0051500A" w:rsidRDefault="00730652" w14:paraId="0517F67E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 w:rsidRPr="00000A1D">
              <w:rPr>
                <w:rFonts w:ascii="Wingdings" w:hAnsi="Wingdings" w:eastAsia="Wingdings" w:cs="Wingdings"/>
                <w:color w:val="000000"/>
                <w:sz w:val="24"/>
                <w:szCs w:val="24"/>
              </w:rPr>
              <w:t>¨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Фінансові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інвестиції</w:t>
            </w:r>
          </w:p>
        </w:tc>
        <w:tc>
          <w:tcPr>
            <w:tcW w:w="5341" w:type="dxa"/>
            <w:vMerge w:val="restart"/>
            <w:shd w:val="clear" w:color="auto" w:fill="auto"/>
          </w:tcPr>
          <w:p w:rsidRPr="00000A1D" w:rsidR="00730652" w:rsidP="0051500A" w:rsidRDefault="00730652" w14:paraId="0357E1C2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 w:rsidRPr="00000A1D">
              <w:rPr>
                <w:rFonts w:ascii="Wingdings" w:hAnsi="Wingdings" w:eastAsia="Wingdings" w:cs="Wingdings"/>
                <w:color w:val="000000"/>
                <w:sz w:val="24"/>
                <w:szCs w:val="24"/>
              </w:rPr>
              <w:t>¨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Зобов’язання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частині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невикористаних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забезпечень</w:t>
            </w:r>
          </w:p>
        </w:tc>
      </w:tr>
      <w:tr w:rsidRPr="00000A1D" w:rsidR="00730652" w:rsidTr="0051500A" w14:paraId="3A4AC55A" w14:textId="77777777">
        <w:tc>
          <w:tcPr>
            <w:tcW w:w="5341" w:type="dxa"/>
            <w:shd w:val="clear" w:color="auto" w:fill="auto"/>
          </w:tcPr>
          <w:p w:rsidRPr="00000A1D" w:rsidR="00730652" w:rsidP="0051500A" w:rsidRDefault="00730652" w14:paraId="0BFF34A8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 w:rsidRPr="00000A1D">
              <w:rPr>
                <w:rFonts w:ascii="Wingdings" w:hAnsi="Wingdings" w:eastAsia="Wingdings" w:cs="Wingdings"/>
                <w:color w:val="000000"/>
                <w:sz w:val="24"/>
                <w:szCs w:val="24"/>
              </w:rPr>
              <w:t>¨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00A1D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Кошти</w:t>
            </w:r>
          </w:p>
        </w:tc>
        <w:tc>
          <w:tcPr>
            <w:tcW w:w="5341" w:type="dxa"/>
            <w:vMerge/>
            <w:shd w:val="clear" w:color="auto" w:fill="auto"/>
          </w:tcPr>
          <w:p w:rsidRPr="00000A1D" w:rsidR="00730652" w:rsidP="0051500A" w:rsidRDefault="00730652" w14:paraId="5893D477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</w:tr>
    </w:tbl>
    <w:p w:rsidRPr="00000A1D" w:rsidR="00730652" w:rsidP="00730652" w:rsidRDefault="00730652" w14:paraId="6181EBA7" w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eastAsia="Times New Roman"/>
          <w:color w:val="000000"/>
          <w:sz w:val="24"/>
          <w:szCs w:val="24"/>
        </w:rPr>
      </w:pPr>
    </w:p>
    <w:sectPr w:rsidR="0034465C" w:rsidSect="00000A1D">
      <w:headerReference w:type="default" r:id="rId7"/>
      <w:footerReference w:type="default" r:id="rId8"/>
      <w:pgSz w:w="11906" w:h="16838" w:orient="portrait"/>
      <w:pgMar w:top="1418" w:right="851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77FB" w:rsidP="00730652" w:rsidRDefault="006B77FB" w14:paraId="03F919EA" w14:textId="77777777">
      <w:pPr>
        <w:spacing w:after="0" w:line="240" w:lineRule="auto"/>
      </w:pPr>
      <w:r>
        <w:separator/>
      </w:r>
    </w:p>
  </w:endnote>
  <w:endnote w:type="continuationSeparator" w:id="0">
    <w:p w:rsidR="006B77FB" w:rsidP="00730652" w:rsidRDefault="006B77FB" w14:paraId="3DFD4E5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24577" w:rsidP="78EBC317" w:rsidRDefault="006B77FB" w14:paraId="3796CB19" w14:textId="5DBFA344">
    <w:pPr>
      <w:pStyle w:val="a5"/>
      <w:jc w:val="left"/>
    </w:pPr>
    <w:r>
      <w:drawing>
        <wp:inline wp14:editId="446E9D6C" wp14:anchorId="6B0ED303">
          <wp:extent cx="1524000" cy="561975"/>
          <wp:effectExtent l="0" t="0" r="0" b="0"/>
          <wp:docPr id="193763687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a16a1f3d2e2432b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4577" w:rsidRDefault="006B77FB" w14:paraId="2EFA4172" w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77FB" w:rsidP="00730652" w:rsidRDefault="006B77FB" w14:paraId="2F0DBF57" w14:textId="77777777">
      <w:pPr>
        <w:spacing w:after="0" w:line="240" w:lineRule="auto"/>
      </w:pPr>
      <w:r>
        <w:separator/>
      </w:r>
    </w:p>
  </w:footnote>
  <w:footnote w:type="continuationSeparator" w:id="0">
    <w:p w:rsidR="006B77FB" w:rsidP="00730652" w:rsidRDefault="006B77FB" w14:paraId="5F7C095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24577" w:rsidRDefault="00730652" w14:paraId="1692D4F9" w14:textId="42AC39C7">
    <w:pPr>
      <w:pStyle w:val="a3"/>
    </w:pPr>
    <w:r>
      <w:drawing>
        <wp:inline wp14:editId="63FA40A4" wp14:anchorId="5DEFDB69">
          <wp:extent cx="2247900" cy="476250"/>
          <wp:effectExtent l="0" t="0" r="0" b="0"/>
          <wp:docPr id="5070160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855c29bdcb5a4af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proofState w:spelling="clean" w:grammar="dirty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52"/>
    <w:rsid w:val="006B77FB"/>
    <w:rsid w:val="00730652"/>
    <w:rsid w:val="00CF41CB"/>
    <w:rsid w:val="00EF1EE7"/>
    <w:rsid w:val="0597DE05"/>
    <w:rsid w:val="0D9A4F87"/>
    <w:rsid w:val="78EBC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E603"/>
  <w15:chartTrackingRefBased/>
  <w15:docId w15:val="{DCE00BE9-CBF1-4283-8B2C-380B389009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730652"/>
    <w:pPr>
      <w:spacing w:after="200" w:line="276" w:lineRule="auto"/>
    </w:pPr>
    <w:rPr>
      <w:rFonts w:ascii="Calibri" w:hAnsi="Calibri" w:eastAsia="Calibri" w:cs="Times New Roman"/>
      <w:lang w:val="uk-UA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652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730652"/>
    <w:rPr>
      <w:rFonts w:ascii="Calibri" w:hAnsi="Calibri" w:eastAsia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730652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730652"/>
    <w:rPr>
      <w:rFonts w:ascii="Calibri" w:hAnsi="Calibri" w:eastAsia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4.png" Id="R1a16a1f3d2e243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855c29bdcb5a4af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Олена Гончар</dc:creator>
  <keywords/>
  <dc:description/>
  <lastModifiedBy>MCFR MCFR</lastModifiedBy>
  <revision>4</revision>
  <dcterms:created xsi:type="dcterms:W3CDTF">2022-06-14T14:14:00.0000000Z</dcterms:created>
  <dcterms:modified xsi:type="dcterms:W3CDTF">2022-08-12T10:53:21.5889126Z</dcterms:modified>
</coreProperties>
</file>