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B10" w14:textId="53620C5A" w:rsidR="003729C9" w:rsidRDefault="003729C9" w:rsidP="003729C9">
      <w:pPr>
        <w:shd w:val="clear" w:color="auto" w:fill="F9F9F9"/>
        <w:spacing w:after="0" w:line="240" w:lineRule="auto"/>
        <w:outlineLvl w:val="1"/>
        <w:rPr>
          <w:rFonts w:ascii="Roboto" w:eastAsia="Times New Roman" w:hAnsi="Roboto" w:cs="Times New Roman"/>
          <w:b/>
          <w:bCs/>
          <w:color w:val="000000"/>
          <w:sz w:val="36"/>
          <w:szCs w:val="36"/>
          <w:lang w:val="uk-UA" w:eastAsia="uk-UA"/>
        </w:rPr>
      </w:pPr>
      <w:r w:rsidRPr="003729C9">
        <w:rPr>
          <w:rFonts w:ascii="Roboto" w:eastAsia="Times New Roman" w:hAnsi="Roboto" w:cs="Times New Roman"/>
          <w:b/>
          <w:bCs/>
          <w:color w:val="000000"/>
          <w:sz w:val="36"/>
          <w:szCs w:val="36"/>
          <w:lang w:val="uk-UA" w:eastAsia="uk-UA"/>
        </w:rPr>
        <w:t>Заява-розрахунок на оплату лікарняних: заповнюємо правильно</w:t>
      </w:r>
    </w:p>
    <w:p w14:paraId="7380AD70" w14:textId="2A8A8C3D" w:rsidR="009E75FE" w:rsidRDefault="009E75FE" w:rsidP="003729C9">
      <w:pPr>
        <w:shd w:val="clear" w:color="auto" w:fill="F9F9F9"/>
        <w:spacing w:after="0" w:line="240" w:lineRule="auto"/>
        <w:outlineLvl w:val="1"/>
        <w:rPr>
          <w:rFonts w:ascii="Roboto" w:eastAsia="Times New Roman" w:hAnsi="Roboto" w:cs="Times New Roman"/>
          <w:b/>
          <w:bCs/>
          <w:color w:val="000000"/>
          <w:sz w:val="36"/>
          <w:szCs w:val="36"/>
          <w:lang w:val="uk-UA" w:eastAsia="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6969"/>
      </w:tblGrid>
      <w:tr w:rsidR="009E75FE" w14:paraId="63218349" w14:textId="77777777" w:rsidTr="009E75FE">
        <w:tc>
          <w:tcPr>
            <w:tcW w:w="2122" w:type="dxa"/>
          </w:tcPr>
          <w:p w14:paraId="16790F3C" w14:textId="457C5CC7" w:rsidR="009E75FE" w:rsidRDefault="009E75FE" w:rsidP="003729C9">
            <w:pPr>
              <w:outlineLvl w:val="1"/>
              <w:rPr>
                <w:rFonts w:ascii="Roboto" w:eastAsia="Times New Roman" w:hAnsi="Roboto" w:cs="Times New Roman"/>
                <w:b/>
                <w:bCs/>
                <w:color w:val="000000"/>
                <w:sz w:val="36"/>
                <w:szCs w:val="36"/>
                <w:lang w:val="uk-UA" w:eastAsia="uk-UA"/>
              </w:rPr>
            </w:pPr>
            <w:r w:rsidRPr="009E75FE">
              <w:rPr>
                <w:rFonts w:ascii="Roboto" w:eastAsia="Times New Roman" w:hAnsi="Roboto" w:cs="Times New Roman"/>
                <w:noProof/>
                <w:color w:val="000000"/>
                <w:sz w:val="21"/>
                <w:szCs w:val="21"/>
                <w:lang w:val="uk-UA" w:eastAsia="uk-UA"/>
              </w:rPr>
              <w:drawing>
                <wp:inline distT="0" distB="0" distL="0" distR="0" wp14:anchorId="4F000579" wp14:editId="4EDEE23A">
                  <wp:extent cx="1377950" cy="787400"/>
                  <wp:effectExtent l="0" t="0" r="0" b="0"/>
                  <wp:docPr id="4" name="Рисунок 4" descr="Людмила Кра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юдмила Кравченк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106" cy="788061"/>
                          </a:xfrm>
                          <a:prstGeom prst="rect">
                            <a:avLst/>
                          </a:prstGeom>
                          <a:noFill/>
                          <a:ln>
                            <a:noFill/>
                          </a:ln>
                        </pic:spPr>
                      </pic:pic>
                    </a:graphicData>
                  </a:graphic>
                </wp:inline>
              </w:drawing>
            </w:r>
          </w:p>
        </w:tc>
        <w:tc>
          <w:tcPr>
            <w:tcW w:w="7223" w:type="dxa"/>
          </w:tcPr>
          <w:p w14:paraId="4716BD82" w14:textId="77777777" w:rsidR="009E75FE" w:rsidRPr="009E75FE" w:rsidRDefault="009E75FE" w:rsidP="009E75FE">
            <w:pPr>
              <w:shd w:val="clear" w:color="auto" w:fill="F9F9F9"/>
              <w:rPr>
                <w:rFonts w:ascii="Roboto" w:eastAsia="Times New Roman" w:hAnsi="Roboto" w:cs="Times New Roman"/>
                <w:color w:val="000000"/>
                <w:sz w:val="21"/>
                <w:szCs w:val="21"/>
                <w:lang w:val="uk-UA" w:eastAsia="uk-UA"/>
              </w:rPr>
            </w:pPr>
            <w:r w:rsidRPr="009E75FE">
              <w:rPr>
                <w:rFonts w:ascii="Roboto" w:eastAsia="Times New Roman" w:hAnsi="Roboto" w:cs="Times New Roman"/>
                <w:b/>
                <w:bCs/>
                <w:color w:val="000000"/>
                <w:sz w:val="21"/>
                <w:szCs w:val="21"/>
                <w:lang w:val="uk-UA" w:eastAsia="uk-UA"/>
              </w:rPr>
              <w:t>Людмила Кравченко, </w:t>
            </w:r>
            <w:r w:rsidRPr="009E75FE">
              <w:rPr>
                <w:rFonts w:ascii="Roboto" w:eastAsia="Times New Roman" w:hAnsi="Roboto" w:cs="Times New Roman"/>
                <w:color w:val="000000"/>
                <w:sz w:val="21"/>
                <w:szCs w:val="21"/>
                <w:lang w:val="uk-UA" w:eastAsia="uk-UA"/>
              </w:rPr>
              <w:t> керівник групи експертів із бюджетного обліку</w:t>
            </w:r>
          </w:p>
          <w:p w14:paraId="3D4A36B5" w14:textId="77777777" w:rsidR="009E75FE" w:rsidRDefault="009E75FE" w:rsidP="003729C9">
            <w:pPr>
              <w:outlineLvl w:val="1"/>
              <w:rPr>
                <w:rFonts w:ascii="Roboto" w:eastAsia="Times New Roman" w:hAnsi="Roboto" w:cs="Times New Roman"/>
                <w:b/>
                <w:bCs/>
                <w:color w:val="000000"/>
                <w:sz w:val="36"/>
                <w:szCs w:val="36"/>
                <w:lang w:val="uk-UA" w:eastAsia="uk-UA"/>
              </w:rPr>
            </w:pPr>
          </w:p>
        </w:tc>
      </w:tr>
    </w:tbl>
    <w:p w14:paraId="4813A8E1" w14:textId="673A9BAD" w:rsidR="009E75FE" w:rsidRPr="009E75FE" w:rsidRDefault="009E75FE" w:rsidP="009E75FE">
      <w:pPr>
        <w:shd w:val="clear" w:color="auto" w:fill="F9F9F9"/>
        <w:spacing w:after="0" w:line="240" w:lineRule="auto"/>
        <w:rPr>
          <w:rFonts w:ascii="Roboto" w:eastAsia="Times New Roman" w:hAnsi="Roboto" w:cs="Times New Roman"/>
          <w:color w:val="000000"/>
          <w:sz w:val="21"/>
          <w:szCs w:val="21"/>
          <w:lang w:val="uk-UA" w:eastAsia="uk-UA"/>
        </w:rPr>
      </w:pPr>
    </w:p>
    <w:p w14:paraId="261B4AC2" w14:textId="77777777" w:rsidR="003729C9" w:rsidRPr="003729C9" w:rsidRDefault="003729C9" w:rsidP="003729C9">
      <w:pPr>
        <w:shd w:val="clear" w:color="auto" w:fill="F9F9F9"/>
        <w:spacing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i/>
          <w:iCs/>
          <w:color w:val="000000"/>
          <w:sz w:val="21"/>
          <w:szCs w:val="21"/>
          <w:lang w:val="uk-UA" w:eastAsia="uk-UA"/>
        </w:rPr>
        <w:t>Отже, з 1 січня 2023 року стартувала реформа фінансування листків непрацездатності, і набрала чинності оновлена редакція </w:t>
      </w:r>
      <w:hyperlink r:id="rId6" w:anchor="Text" w:tgtFrame="_blank" w:history="1">
        <w:r w:rsidRPr="003729C9">
          <w:rPr>
            <w:rFonts w:ascii="Roboto" w:eastAsia="Times New Roman" w:hAnsi="Roboto" w:cs="Times New Roman"/>
            <w:i/>
            <w:iCs/>
            <w:color w:val="2B73D5"/>
            <w:sz w:val="21"/>
            <w:szCs w:val="21"/>
            <w:lang w:val="uk-UA" w:eastAsia="uk-UA"/>
          </w:rPr>
          <w:t>Закону № 1105</w:t>
        </w:r>
      </w:hyperlink>
      <w:r w:rsidRPr="003729C9">
        <w:rPr>
          <w:rFonts w:ascii="Roboto" w:eastAsia="Times New Roman" w:hAnsi="Roboto" w:cs="Times New Roman"/>
          <w:i/>
          <w:iCs/>
          <w:color w:val="000000"/>
          <w:sz w:val="21"/>
          <w:szCs w:val="21"/>
          <w:lang w:val="uk-UA" w:eastAsia="uk-UA"/>
        </w:rPr>
        <w:t>. Уповноваженим органом управління в системі загальнообов’язкового державного соціального страхування у зв’язку з тимчасовою втратою працездатності та від нещасного випадку стає Пенсійний фонд України (ПФУ).Як тепер страхувальникам формувати та подавати заяви-розрахунки й отримувати страхові виплати, ПФУ </w:t>
      </w:r>
      <w:hyperlink r:id="rId7" w:tgtFrame="_blank" w:history="1">
        <w:r w:rsidRPr="003729C9">
          <w:rPr>
            <w:rFonts w:ascii="Roboto" w:eastAsia="Times New Roman" w:hAnsi="Roboto" w:cs="Times New Roman"/>
            <w:i/>
            <w:iCs/>
            <w:color w:val="2B73D5"/>
            <w:sz w:val="21"/>
            <w:szCs w:val="21"/>
            <w:lang w:val="uk-UA" w:eastAsia="uk-UA"/>
          </w:rPr>
          <w:t>роз’яснив</w:t>
        </w:r>
      </w:hyperlink>
      <w:r w:rsidRPr="003729C9">
        <w:rPr>
          <w:rFonts w:ascii="Roboto" w:eastAsia="Times New Roman" w:hAnsi="Roboto" w:cs="Times New Roman"/>
          <w:i/>
          <w:iCs/>
          <w:color w:val="000000"/>
          <w:sz w:val="21"/>
          <w:szCs w:val="21"/>
          <w:lang w:val="uk-UA" w:eastAsia="uk-UA"/>
        </w:rPr>
        <w:t> на своєму вебпорталі. А ми розберемо ці роз’яснення в уроці</w:t>
      </w:r>
    </w:p>
    <w:p w14:paraId="000FB512" w14:textId="77777777" w:rsidR="003729C9" w:rsidRPr="003729C9" w:rsidRDefault="003729C9" w:rsidP="003729C9">
      <w:pPr>
        <w:shd w:val="clear" w:color="auto" w:fill="F9F9F9"/>
        <w:spacing w:before="225" w:after="0" w:line="408" w:lineRule="atLeast"/>
        <w:outlineLvl w:val="2"/>
        <w:rPr>
          <w:rFonts w:ascii="Roboto" w:eastAsia="Times New Roman" w:hAnsi="Roboto" w:cs="Times New Roman"/>
          <w:b/>
          <w:bCs/>
          <w:color w:val="000000"/>
          <w:sz w:val="27"/>
          <w:szCs w:val="27"/>
          <w:lang w:val="uk-UA" w:eastAsia="uk-UA"/>
        </w:rPr>
      </w:pPr>
      <w:r w:rsidRPr="003729C9">
        <w:rPr>
          <w:rFonts w:ascii="Roboto" w:eastAsia="Times New Roman" w:hAnsi="Roboto" w:cs="Times New Roman"/>
          <w:b/>
          <w:bCs/>
          <w:color w:val="000000"/>
          <w:sz w:val="27"/>
          <w:szCs w:val="27"/>
          <w:lang w:val="uk-UA" w:eastAsia="uk-UA"/>
        </w:rPr>
        <w:t>Як фінансуватимуть страхувальників </w:t>
      </w:r>
    </w:p>
    <w:p w14:paraId="75A216AD"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Під час реорганізації системи соціального страхування застраховані особи, потерпілі на виробництві та їхні родини вчасно отримають усі гарантовані законодавством виплати та допомоги. ПФУ централізовано фінансуватиме страхові виплати та надаватиме соціальні послуги.</w:t>
      </w:r>
    </w:p>
    <w:p w14:paraId="664CF251"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ПФУ вже фінансує страхувальників на підставі справ, баз даних, носіїв інформації та програмного забезпечення, виплатних документів на січень 2023 року, що їх підготували та передали виконавча дирекція Фонду соціального страхування (ФСС) та її робочі органи.</w:t>
      </w:r>
    </w:p>
    <w:p w14:paraId="30F904A3"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Передача ФСС особових справ потерпілих унаслідок нещасного випадку на виробництві або професійного захворювання, баз даних, носіїв інформації, програмного забезпечення потребує доопрацювання нормативно-правових актів, як передбачає пункт 5 розділу VII «Прикінцеві та перехідні положення» </w:t>
      </w:r>
      <w:hyperlink r:id="rId8" w:anchor="Text" w:tgtFrame="_blank" w:history="1">
        <w:r w:rsidRPr="003729C9">
          <w:rPr>
            <w:rFonts w:ascii="Roboto" w:eastAsia="Times New Roman" w:hAnsi="Roboto" w:cs="Times New Roman"/>
            <w:color w:val="2B73D5"/>
            <w:sz w:val="21"/>
            <w:szCs w:val="21"/>
            <w:lang w:val="uk-UA" w:eastAsia="uk-UA"/>
          </w:rPr>
          <w:t>Закону № 2620</w:t>
        </w:r>
      </w:hyperlink>
      <w:r w:rsidRPr="003729C9">
        <w:rPr>
          <w:rFonts w:ascii="Roboto" w:eastAsia="Times New Roman" w:hAnsi="Roboto" w:cs="Times New Roman"/>
          <w:color w:val="000000"/>
          <w:sz w:val="21"/>
          <w:szCs w:val="21"/>
          <w:lang w:val="uk-UA" w:eastAsia="uk-UA"/>
        </w:rPr>
        <w:t>.</w:t>
      </w:r>
    </w:p>
    <w:p w14:paraId="5C33BAAE"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Головні управління ПФУ в областях та м. Києві підтримуватимуть зв’язок зі страхувальниками й обмінюватимуться інформацією. Якщо не отримуватимуть повідомлення про виплату коштів застрахованим особам, </w:t>
      </w:r>
      <w:r w:rsidRPr="003729C9">
        <w:rPr>
          <w:rFonts w:ascii="Roboto" w:eastAsia="Times New Roman" w:hAnsi="Roboto" w:cs="Times New Roman"/>
          <w:b/>
          <w:bCs/>
          <w:color w:val="000000"/>
          <w:sz w:val="21"/>
          <w:szCs w:val="21"/>
          <w:lang w:val="uk-UA" w:eastAsia="uk-UA"/>
        </w:rPr>
        <w:t>перевірятимуть</w:t>
      </w:r>
      <w:r w:rsidRPr="003729C9">
        <w:rPr>
          <w:rFonts w:ascii="Roboto" w:eastAsia="Times New Roman" w:hAnsi="Roboto" w:cs="Times New Roman"/>
          <w:color w:val="000000"/>
          <w:sz w:val="21"/>
          <w:szCs w:val="21"/>
          <w:lang w:val="uk-UA" w:eastAsia="uk-UA"/>
        </w:rPr>
        <w:t>, як страхувальники використовують кошти загальнообов’язкового державного соціального страхування.</w:t>
      </w:r>
    </w:p>
    <w:p w14:paraId="478D7A67"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lastRenderedPageBreak/>
        <w:t>Якщо сума страхових коштів, що отримав страхувальник, перевищить фактичні витрати, які ПФУ надав на страхові виплати, невикористані страхові кошти страхувальники мають повернути на рахунок ПФУ упродовж </w:t>
      </w:r>
      <w:r w:rsidRPr="003729C9">
        <w:rPr>
          <w:rFonts w:ascii="Roboto" w:eastAsia="Times New Roman" w:hAnsi="Roboto" w:cs="Times New Roman"/>
          <w:b/>
          <w:bCs/>
          <w:color w:val="000000"/>
          <w:sz w:val="21"/>
          <w:szCs w:val="21"/>
          <w:lang w:val="uk-UA" w:eastAsia="uk-UA"/>
        </w:rPr>
        <w:t>трьох робочих днів</w:t>
      </w:r>
      <w:r w:rsidRPr="003729C9">
        <w:rPr>
          <w:rFonts w:ascii="Roboto" w:eastAsia="Times New Roman" w:hAnsi="Roboto" w:cs="Times New Roman"/>
          <w:color w:val="000000"/>
          <w:sz w:val="21"/>
          <w:szCs w:val="21"/>
          <w:lang w:val="uk-UA" w:eastAsia="uk-UA"/>
        </w:rPr>
        <w:t>.</w:t>
      </w:r>
    </w:p>
    <w:p w14:paraId="199DAF6A"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Територіальні органи ПФУ фінансуватимуть страхувальників протягом 3 робочих днів після того, як надійдуть заяви-розрахунки, зокрема в електронній формі. Робочі органи ФСС зобов’язані були фінансувати страхувальників протягом </w:t>
      </w:r>
      <w:r w:rsidRPr="003729C9">
        <w:rPr>
          <w:rFonts w:ascii="Roboto" w:eastAsia="Times New Roman" w:hAnsi="Roboto" w:cs="Times New Roman"/>
          <w:b/>
          <w:bCs/>
          <w:color w:val="000000"/>
          <w:sz w:val="21"/>
          <w:szCs w:val="21"/>
          <w:lang w:val="uk-UA" w:eastAsia="uk-UA"/>
        </w:rPr>
        <w:t>10 робочих днів</w:t>
      </w:r>
      <w:r w:rsidRPr="003729C9">
        <w:rPr>
          <w:rFonts w:ascii="Roboto" w:eastAsia="Times New Roman" w:hAnsi="Roboto" w:cs="Times New Roman"/>
          <w:color w:val="000000"/>
          <w:sz w:val="21"/>
          <w:szCs w:val="21"/>
          <w:lang w:val="uk-UA" w:eastAsia="uk-UA"/>
        </w:rPr>
        <w:t> після того, як надходили заяви (</w:t>
      </w:r>
      <w:hyperlink r:id="rId9" w:anchor="n1467" w:tgtFrame="_blank" w:history="1">
        <w:r w:rsidRPr="003729C9">
          <w:rPr>
            <w:rFonts w:ascii="Roboto" w:eastAsia="Times New Roman" w:hAnsi="Roboto" w:cs="Times New Roman"/>
            <w:color w:val="2B73D5"/>
            <w:sz w:val="21"/>
            <w:szCs w:val="21"/>
            <w:lang w:val="uk-UA" w:eastAsia="uk-UA"/>
          </w:rPr>
          <w:t>ст. 34</w:t>
        </w:r>
      </w:hyperlink>
      <w:r w:rsidRPr="003729C9">
        <w:rPr>
          <w:rFonts w:ascii="Roboto" w:eastAsia="Times New Roman" w:hAnsi="Roboto" w:cs="Times New Roman"/>
          <w:color w:val="000000"/>
          <w:sz w:val="21"/>
          <w:szCs w:val="21"/>
          <w:lang w:val="uk-UA" w:eastAsia="uk-UA"/>
        </w:rPr>
        <w:t> Закону № 1105).</w:t>
      </w:r>
    </w:p>
    <w:p w14:paraId="515F41DC"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b/>
          <w:bCs/>
          <w:color w:val="000000"/>
          <w:sz w:val="21"/>
          <w:szCs w:val="21"/>
          <w:lang w:val="uk-UA" w:eastAsia="uk-UA"/>
        </w:rPr>
        <w:t> </w:t>
      </w:r>
    </w:p>
    <w:p w14:paraId="4E6E7248" w14:textId="77777777" w:rsidR="003729C9" w:rsidRPr="003729C9" w:rsidRDefault="003729C9" w:rsidP="003729C9">
      <w:pPr>
        <w:shd w:val="clear" w:color="auto" w:fill="F9F9F9"/>
        <w:spacing w:before="225" w:after="0" w:line="408" w:lineRule="atLeast"/>
        <w:outlineLvl w:val="2"/>
        <w:rPr>
          <w:rFonts w:ascii="Roboto" w:eastAsia="Times New Roman" w:hAnsi="Roboto" w:cs="Times New Roman"/>
          <w:b/>
          <w:bCs/>
          <w:color w:val="000000"/>
          <w:sz w:val="27"/>
          <w:szCs w:val="27"/>
          <w:lang w:val="uk-UA" w:eastAsia="uk-UA"/>
        </w:rPr>
      </w:pPr>
      <w:r w:rsidRPr="003729C9">
        <w:rPr>
          <w:rFonts w:ascii="Roboto" w:eastAsia="Times New Roman" w:hAnsi="Roboto" w:cs="Times New Roman"/>
          <w:b/>
          <w:bCs/>
          <w:color w:val="000000"/>
          <w:sz w:val="27"/>
          <w:szCs w:val="27"/>
          <w:lang w:val="uk-UA" w:eastAsia="uk-UA"/>
        </w:rPr>
        <w:t>Як подавати заяву-розрахунок </w:t>
      </w:r>
    </w:p>
    <w:p w14:paraId="7E231A6E"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Як і раніше, для розрахунку виплат страхувальник має подати заяву-розрахунок, що містить інформацію про нараховані застрахованим особам суми страхових виплат за їх видами. Утім, із 1 січня заяву-розрахунок подавайте </w:t>
      </w:r>
      <w:r w:rsidRPr="003729C9">
        <w:rPr>
          <w:rFonts w:ascii="Roboto" w:eastAsia="Times New Roman" w:hAnsi="Roboto" w:cs="Times New Roman"/>
          <w:b/>
          <w:bCs/>
          <w:color w:val="000000"/>
          <w:sz w:val="21"/>
          <w:szCs w:val="21"/>
          <w:lang w:val="uk-UA" w:eastAsia="uk-UA"/>
        </w:rPr>
        <w:t>не особисто, а через інтерфейс</w:t>
      </w:r>
      <w:r w:rsidRPr="003729C9">
        <w:rPr>
          <w:rFonts w:ascii="Roboto" w:eastAsia="Times New Roman" w:hAnsi="Roboto" w:cs="Times New Roman"/>
          <w:color w:val="000000"/>
          <w:sz w:val="21"/>
          <w:szCs w:val="21"/>
          <w:lang w:val="uk-UA" w:eastAsia="uk-UA"/>
        </w:rPr>
        <w:t>, що його створили в особистому кабінеті страхувальника на сайті е-послуг ПФУ.</w:t>
      </w:r>
    </w:p>
    <w:p w14:paraId="23B9EBD8"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ПФУ повідомляє, що всі роботодавці зможуть формувати та подавати заяви-розрахунки з особистого е-кабінету. Додаткове програмне забезпечення не знадобиться. Достатньо мати доступ до інтернету й електронний цифровий підпис.</w:t>
      </w:r>
    </w:p>
    <w:p w14:paraId="2E9976F1"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Заяви-розрахунки за паперовими листками непрацездатності страхувальники заповнюватимуть у режимі ручного введення даних і прикріплюватимуть скановані копії паперових листків непрацездатності.</w:t>
      </w:r>
    </w:p>
    <w:p w14:paraId="5074BB3D"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b/>
          <w:bCs/>
          <w:color w:val="000000"/>
          <w:sz w:val="21"/>
          <w:szCs w:val="21"/>
          <w:lang w:val="uk-UA" w:eastAsia="uk-UA"/>
        </w:rPr>
        <w:t> </w:t>
      </w:r>
    </w:p>
    <w:p w14:paraId="293FFC23" w14:textId="77777777" w:rsidR="003729C9" w:rsidRPr="003729C9" w:rsidRDefault="003729C9" w:rsidP="003729C9">
      <w:pPr>
        <w:shd w:val="clear" w:color="auto" w:fill="F9F9F9"/>
        <w:spacing w:before="225" w:after="0" w:line="408" w:lineRule="atLeast"/>
        <w:outlineLvl w:val="2"/>
        <w:rPr>
          <w:rFonts w:ascii="Roboto" w:eastAsia="Times New Roman" w:hAnsi="Roboto" w:cs="Times New Roman"/>
          <w:b/>
          <w:bCs/>
          <w:color w:val="000000"/>
          <w:sz w:val="27"/>
          <w:szCs w:val="27"/>
          <w:lang w:val="uk-UA" w:eastAsia="uk-UA"/>
        </w:rPr>
      </w:pPr>
      <w:r w:rsidRPr="003729C9">
        <w:rPr>
          <w:rFonts w:ascii="Roboto" w:eastAsia="Times New Roman" w:hAnsi="Roboto" w:cs="Times New Roman"/>
          <w:b/>
          <w:bCs/>
          <w:color w:val="000000"/>
          <w:sz w:val="27"/>
          <w:szCs w:val="27"/>
          <w:lang w:val="uk-UA" w:eastAsia="uk-UA"/>
        </w:rPr>
        <w:t>Які нові функції особистого кабінету </w:t>
      </w:r>
    </w:p>
    <w:p w14:paraId="16B8908D"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В особистому кабінеті будуть доступні такі функції:</w:t>
      </w:r>
    </w:p>
    <w:p w14:paraId="418E2FCA" w14:textId="77777777" w:rsidR="003729C9" w:rsidRPr="003729C9" w:rsidRDefault="003729C9" w:rsidP="003729C9">
      <w:pPr>
        <w:numPr>
          <w:ilvl w:val="0"/>
          <w:numId w:val="1"/>
        </w:numPr>
        <w:shd w:val="clear" w:color="auto" w:fill="F9F9F9"/>
        <w:spacing w:before="75" w:after="150" w:line="408" w:lineRule="atLeast"/>
        <w:ind w:left="1170" w:right="150"/>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пошук і перегляд заяв-розрахунків страхувальника за критеріями, що він визначить: період реєстрації листків непраце</w:t>
      </w:r>
      <w:r w:rsidRPr="003729C9">
        <w:rPr>
          <w:rFonts w:ascii="Roboto" w:eastAsia="Times New Roman" w:hAnsi="Roboto" w:cs="Times New Roman"/>
          <w:color w:val="000000"/>
          <w:sz w:val="21"/>
          <w:szCs w:val="21"/>
          <w:lang w:val="uk-UA" w:eastAsia="uk-UA"/>
        </w:rPr>
        <w:softHyphen/>
        <w:t>здатності, тип заяви-розрахунку (за електронними листками непрацездатності);</w:t>
      </w:r>
    </w:p>
    <w:p w14:paraId="06CC2590" w14:textId="77777777" w:rsidR="003729C9" w:rsidRPr="003729C9" w:rsidRDefault="003729C9" w:rsidP="003729C9">
      <w:pPr>
        <w:numPr>
          <w:ilvl w:val="0"/>
          <w:numId w:val="1"/>
        </w:numPr>
        <w:shd w:val="clear" w:color="auto" w:fill="F9F9F9"/>
        <w:spacing w:before="75" w:after="150" w:line="408" w:lineRule="atLeast"/>
        <w:ind w:left="1170" w:right="150"/>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формування (редагування) та відправка заяви-розрахунку до ПФУ.</w:t>
      </w:r>
    </w:p>
    <w:p w14:paraId="60C9BC3C"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Заяву-розрахунок формуйте на підставі інформації з електрон</w:t>
      </w:r>
      <w:r w:rsidRPr="003729C9">
        <w:rPr>
          <w:rFonts w:ascii="Roboto" w:eastAsia="Times New Roman" w:hAnsi="Roboto" w:cs="Times New Roman"/>
          <w:color w:val="000000"/>
          <w:sz w:val="21"/>
          <w:szCs w:val="21"/>
          <w:lang w:val="uk-UA" w:eastAsia="uk-UA"/>
        </w:rPr>
        <w:softHyphen/>
        <w:t>ного листка непрацездатності та Реєстру застрахованих осіб.</w:t>
      </w:r>
    </w:p>
    <w:p w14:paraId="3647291B"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b/>
          <w:bCs/>
          <w:color w:val="000000"/>
          <w:sz w:val="21"/>
          <w:szCs w:val="21"/>
          <w:lang w:val="uk-UA" w:eastAsia="uk-UA"/>
        </w:rPr>
        <w:t> </w:t>
      </w:r>
    </w:p>
    <w:p w14:paraId="6300CC72" w14:textId="77777777" w:rsidR="003729C9" w:rsidRPr="003729C9" w:rsidRDefault="003729C9" w:rsidP="003729C9">
      <w:pPr>
        <w:shd w:val="clear" w:color="auto" w:fill="F9F9F9"/>
        <w:spacing w:before="225" w:after="0" w:line="408" w:lineRule="atLeast"/>
        <w:outlineLvl w:val="2"/>
        <w:rPr>
          <w:rFonts w:ascii="Roboto" w:eastAsia="Times New Roman" w:hAnsi="Roboto" w:cs="Times New Roman"/>
          <w:b/>
          <w:bCs/>
          <w:color w:val="000000"/>
          <w:sz w:val="27"/>
          <w:szCs w:val="27"/>
          <w:lang w:val="uk-UA" w:eastAsia="uk-UA"/>
        </w:rPr>
      </w:pPr>
      <w:r w:rsidRPr="003729C9">
        <w:rPr>
          <w:rFonts w:ascii="Roboto" w:eastAsia="Times New Roman" w:hAnsi="Roboto" w:cs="Times New Roman"/>
          <w:b/>
          <w:bCs/>
          <w:color w:val="000000"/>
          <w:sz w:val="27"/>
          <w:szCs w:val="27"/>
          <w:lang w:val="uk-UA" w:eastAsia="uk-UA"/>
        </w:rPr>
        <w:lastRenderedPageBreak/>
        <w:t>Як оформлювати заяву-розрахунок </w:t>
      </w:r>
    </w:p>
    <w:p w14:paraId="30B010E0"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Як і раніше, за електронними та паперовими листками непрацездатності складайте окремі заяви-розрахунки. Максимальна кількість листків непрацездатності в одній заяві-розрахунку — 200 штук.</w:t>
      </w:r>
    </w:p>
    <w:p w14:paraId="6D842495"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До заяви-розрахунку </w:t>
      </w:r>
      <w:r w:rsidRPr="003729C9">
        <w:rPr>
          <w:rFonts w:ascii="Roboto" w:eastAsia="Times New Roman" w:hAnsi="Roboto" w:cs="Times New Roman"/>
          <w:b/>
          <w:bCs/>
          <w:color w:val="000000"/>
          <w:sz w:val="21"/>
          <w:szCs w:val="21"/>
          <w:lang w:val="uk-UA" w:eastAsia="uk-UA"/>
        </w:rPr>
        <w:t>можете додавати</w:t>
      </w:r>
      <w:r w:rsidRPr="003729C9">
        <w:rPr>
          <w:rFonts w:ascii="Roboto" w:eastAsia="Times New Roman" w:hAnsi="Roboto" w:cs="Times New Roman"/>
          <w:color w:val="000000"/>
          <w:sz w:val="21"/>
          <w:szCs w:val="21"/>
          <w:lang w:val="uk-UA" w:eastAsia="uk-UA"/>
        </w:rPr>
        <w:t> коментарі, пояснення та скановані копії документів, які знадобляться, коли ПФУ ухвалюватиме рішення щодо фінансування.</w:t>
      </w:r>
    </w:p>
    <w:p w14:paraId="017C65B6" w14:textId="2D0677F1" w:rsid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Подивіться відеоінструкцію, як подати заяву-розрахунок через вебпортал електронних послуг ПФУ. </w:t>
      </w:r>
    </w:p>
    <w:p w14:paraId="13E5CFBB" w14:textId="099FBC11" w:rsidR="002131B2" w:rsidRDefault="002131B2" w:rsidP="003729C9">
      <w:pPr>
        <w:shd w:val="clear" w:color="auto" w:fill="F9F9F9"/>
        <w:spacing w:before="225" w:after="0" w:line="408" w:lineRule="atLeast"/>
        <w:rPr>
          <w:rFonts w:ascii="Roboto" w:eastAsia="Times New Roman" w:hAnsi="Roboto" w:cs="Times New Roman"/>
          <w:color w:val="000000"/>
          <w:sz w:val="21"/>
          <w:szCs w:val="21"/>
          <w:lang w:val="uk-UA" w:eastAsia="uk-UA"/>
        </w:rPr>
      </w:pPr>
      <w:hyperlink r:id="rId10" w:history="1">
        <w:r w:rsidRPr="002F1D99">
          <w:rPr>
            <w:rStyle w:val="a3"/>
            <w:rFonts w:ascii="Roboto" w:eastAsia="Times New Roman" w:hAnsi="Roboto" w:cs="Times New Roman"/>
            <w:sz w:val="21"/>
            <w:szCs w:val="21"/>
            <w:lang w:val="uk-UA" w:eastAsia="uk-UA"/>
          </w:rPr>
          <w:t>https://www.youtube.com/watch?v=ufrnr-fUkdw</w:t>
        </w:r>
      </w:hyperlink>
    </w:p>
    <w:p w14:paraId="1C56BB14" w14:textId="77777777"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color w:val="000000"/>
          <w:sz w:val="21"/>
          <w:szCs w:val="21"/>
          <w:lang w:val="uk-UA" w:eastAsia="uk-UA"/>
        </w:rPr>
        <w:t>ПФУ повідомляє, що страхувальники, які не можуть користуватися е-кабінетом на вебпорталі електронних послуг ПФУ, можуть скласти заяву-розрахунок у </w:t>
      </w:r>
      <w:r w:rsidRPr="003729C9">
        <w:rPr>
          <w:rFonts w:ascii="Roboto" w:eastAsia="Times New Roman" w:hAnsi="Roboto" w:cs="Times New Roman"/>
          <w:b/>
          <w:bCs/>
          <w:color w:val="000000"/>
          <w:sz w:val="21"/>
          <w:szCs w:val="21"/>
          <w:lang w:val="uk-UA" w:eastAsia="uk-UA"/>
        </w:rPr>
        <w:t>паперовій формі</w:t>
      </w:r>
      <w:r w:rsidRPr="003729C9">
        <w:rPr>
          <w:rFonts w:ascii="Roboto" w:eastAsia="Times New Roman" w:hAnsi="Roboto" w:cs="Times New Roman"/>
          <w:color w:val="000000"/>
          <w:sz w:val="21"/>
          <w:szCs w:val="21"/>
          <w:lang w:val="uk-UA" w:eastAsia="uk-UA"/>
        </w:rPr>
        <w:t> та подати її до будь-якого відділу обслуговування громадян (сервісного центру). Зразок заповнення заяви-розрахунку знайдете у </w:t>
      </w:r>
      <w:hyperlink r:id="rId11" w:tgtFrame="_blank" w:history="1">
        <w:r w:rsidRPr="003729C9">
          <w:rPr>
            <w:rFonts w:ascii="Roboto" w:eastAsia="Times New Roman" w:hAnsi="Roboto" w:cs="Times New Roman"/>
            <w:i/>
            <w:iCs/>
            <w:color w:val="2B73D5"/>
            <w:sz w:val="21"/>
            <w:szCs w:val="21"/>
            <w:lang w:val="uk-UA" w:eastAsia="uk-UA"/>
          </w:rPr>
          <w:t>Додатку</w:t>
        </w:r>
      </w:hyperlink>
      <w:r w:rsidRPr="003729C9">
        <w:rPr>
          <w:rFonts w:ascii="Roboto" w:eastAsia="Times New Roman" w:hAnsi="Roboto" w:cs="Times New Roman"/>
          <w:color w:val="000000"/>
          <w:sz w:val="21"/>
          <w:szCs w:val="21"/>
          <w:lang w:val="uk-UA" w:eastAsia="uk-UA"/>
        </w:rPr>
        <w:t>.</w:t>
      </w:r>
    </w:p>
    <w:p w14:paraId="4653BE71" w14:textId="5AA0F2C5"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noProof/>
          <w:color w:val="000000"/>
          <w:sz w:val="21"/>
          <w:szCs w:val="21"/>
          <w:lang w:val="uk-UA" w:eastAsia="uk-UA"/>
        </w:rPr>
        <w:lastRenderedPageBreak/>
        <w:drawing>
          <wp:inline distT="0" distB="0" distL="0" distR="0" wp14:anchorId="27B701C5" wp14:editId="0CEF7D27">
            <wp:extent cx="5940425" cy="6427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427470"/>
                    </a:xfrm>
                    <a:prstGeom prst="rect">
                      <a:avLst/>
                    </a:prstGeom>
                    <a:noFill/>
                    <a:ln>
                      <a:noFill/>
                    </a:ln>
                  </pic:spPr>
                </pic:pic>
              </a:graphicData>
            </a:graphic>
          </wp:inline>
        </w:drawing>
      </w:r>
    </w:p>
    <w:p w14:paraId="15BDC1AB" w14:textId="7894B11A"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noProof/>
          <w:color w:val="000000"/>
          <w:sz w:val="21"/>
          <w:szCs w:val="21"/>
          <w:lang w:val="uk-UA" w:eastAsia="uk-UA"/>
        </w:rPr>
        <w:lastRenderedPageBreak/>
        <w:drawing>
          <wp:inline distT="0" distB="0" distL="0" distR="0" wp14:anchorId="32CB9F42" wp14:editId="3C35D762">
            <wp:extent cx="5940425" cy="660654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6606540"/>
                    </a:xfrm>
                    <a:prstGeom prst="rect">
                      <a:avLst/>
                    </a:prstGeom>
                    <a:noFill/>
                    <a:ln>
                      <a:noFill/>
                    </a:ln>
                  </pic:spPr>
                </pic:pic>
              </a:graphicData>
            </a:graphic>
          </wp:inline>
        </w:drawing>
      </w:r>
    </w:p>
    <w:p w14:paraId="2BBB795D" w14:textId="073CB2C0" w:rsidR="003729C9" w:rsidRPr="003729C9" w:rsidRDefault="003729C9" w:rsidP="003729C9">
      <w:pPr>
        <w:shd w:val="clear" w:color="auto" w:fill="F9F9F9"/>
        <w:spacing w:before="225" w:after="0" w:line="408" w:lineRule="atLeast"/>
        <w:rPr>
          <w:rFonts w:ascii="Roboto" w:eastAsia="Times New Roman" w:hAnsi="Roboto" w:cs="Times New Roman"/>
          <w:color w:val="000000"/>
          <w:sz w:val="21"/>
          <w:szCs w:val="21"/>
          <w:lang w:val="uk-UA" w:eastAsia="uk-UA"/>
        </w:rPr>
      </w:pPr>
      <w:r w:rsidRPr="003729C9">
        <w:rPr>
          <w:rFonts w:ascii="Roboto" w:eastAsia="Times New Roman" w:hAnsi="Roboto" w:cs="Times New Roman"/>
          <w:noProof/>
          <w:color w:val="000000"/>
          <w:sz w:val="21"/>
          <w:szCs w:val="21"/>
          <w:lang w:val="uk-UA" w:eastAsia="uk-UA"/>
        </w:rPr>
        <w:lastRenderedPageBreak/>
        <w:drawing>
          <wp:inline distT="0" distB="0" distL="0" distR="0" wp14:anchorId="48A985C3" wp14:editId="5B1672BD">
            <wp:extent cx="5940425" cy="33877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387725"/>
                    </a:xfrm>
                    <a:prstGeom prst="rect">
                      <a:avLst/>
                    </a:prstGeom>
                    <a:noFill/>
                    <a:ln>
                      <a:noFill/>
                    </a:ln>
                  </pic:spPr>
                </pic:pic>
              </a:graphicData>
            </a:graphic>
          </wp:inline>
        </w:drawing>
      </w:r>
    </w:p>
    <w:p w14:paraId="4FDE8709" w14:textId="77777777" w:rsidR="0034465C" w:rsidRDefault="00000000"/>
    <w:sectPr w:rsidR="00344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3D90"/>
    <w:multiLevelType w:val="multilevel"/>
    <w:tmpl w:val="ECD2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57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C9"/>
    <w:rsid w:val="002131B2"/>
    <w:rsid w:val="003729C9"/>
    <w:rsid w:val="009E75FE"/>
    <w:rsid w:val="00CF41CB"/>
    <w:rsid w:val="00EF1EE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5F50"/>
  <w15:chartTrackingRefBased/>
  <w15:docId w15:val="{59683B84-2078-49E5-8DBD-1F41E1B7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729C9"/>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3729C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9C9"/>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729C9"/>
    <w:rPr>
      <w:rFonts w:ascii="Times New Roman" w:eastAsia="Times New Roman" w:hAnsi="Times New Roman" w:cs="Times New Roman"/>
      <w:b/>
      <w:bCs/>
      <w:sz w:val="27"/>
      <w:szCs w:val="27"/>
      <w:lang w:val="uk-UA" w:eastAsia="uk-UA"/>
    </w:rPr>
  </w:style>
  <w:style w:type="character" w:styleId="a3">
    <w:name w:val="Hyperlink"/>
    <w:basedOn w:val="a0"/>
    <w:uiPriority w:val="99"/>
    <w:unhideWhenUsed/>
    <w:rsid w:val="003729C9"/>
    <w:rPr>
      <w:color w:val="0000FF"/>
      <w:u w:val="single"/>
    </w:rPr>
  </w:style>
  <w:style w:type="character" w:styleId="a4">
    <w:name w:val="Strong"/>
    <w:basedOn w:val="a0"/>
    <w:uiPriority w:val="22"/>
    <w:qFormat/>
    <w:rsid w:val="003729C9"/>
    <w:rPr>
      <w:b/>
      <w:bCs/>
    </w:rPr>
  </w:style>
  <w:style w:type="paragraph" w:styleId="a5">
    <w:name w:val="Normal (Web)"/>
    <w:basedOn w:val="a"/>
    <w:uiPriority w:val="99"/>
    <w:semiHidden/>
    <w:unhideWhenUsed/>
    <w:rsid w:val="003729C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6">
    <w:name w:val="Table Grid"/>
    <w:basedOn w:val="a1"/>
    <w:uiPriority w:val="39"/>
    <w:rsid w:val="009E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213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74690">
      <w:bodyDiv w:val="1"/>
      <w:marLeft w:val="0"/>
      <w:marRight w:val="0"/>
      <w:marTop w:val="0"/>
      <w:marBottom w:val="0"/>
      <w:divBdr>
        <w:top w:val="none" w:sz="0" w:space="0" w:color="auto"/>
        <w:left w:val="none" w:sz="0" w:space="0" w:color="auto"/>
        <w:bottom w:val="none" w:sz="0" w:space="0" w:color="auto"/>
        <w:right w:val="none" w:sz="0" w:space="0" w:color="auto"/>
      </w:divBdr>
      <w:divsChild>
        <w:div w:id="1495756736">
          <w:marLeft w:val="0"/>
          <w:marRight w:val="0"/>
          <w:marTop w:val="0"/>
          <w:marBottom w:val="0"/>
          <w:divBdr>
            <w:top w:val="none" w:sz="0" w:space="0" w:color="auto"/>
            <w:left w:val="none" w:sz="0" w:space="0" w:color="auto"/>
            <w:bottom w:val="none" w:sz="0" w:space="0" w:color="auto"/>
            <w:right w:val="none" w:sz="0" w:space="0" w:color="auto"/>
          </w:divBdr>
          <w:divsChild>
            <w:div w:id="1264847802">
              <w:marLeft w:val="0"/>
              <w:marRight w:val="0"/>
              <w:marTop w:val="0"/>
              <w:marBottom w:val="0"/>
              <w:divBdr>
                <w:top w:val="none" w:sz="0" w:space="0" w:color="auto"/>
                <w:left w:val="none" w:sz="0" w:space="0" w:color="auto"/>
                <w:bottom w:val="none" w:sz="0" w:space="0" w:color="auto"/>
                <w:right w:val="none" w:sz="0" w:space="0" w:color="auto"/>
              </w:divBdr>
              <w:divsChild>
                <w:div w:id="1527790334">
                  <w:marLeft w:val="0"/>
                  <w:marRight w:val="0"/>
                  <w:marTop w:val="300"/>
                  <w:marBottom w:val="0"/>
                  <w:divBdr>
                    <w:top w:val="none" w:sz="0" w:space="0" w:color="auto"/>
                    <w:left w:val="none" w:sz="0" w:space="0" w:color="auto"/>
                    <w:bottom w:val="none" w:sz="0" w:space="0" w:color="auto"/>
                    <w:right w:val="none" w:sz="0" w:space="0" w:color="auto"/>
                  </w:divBdr>
                  <w:divsChild>
                    <w:div w:id="13562335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54334004">
      <w:bodyDiv w:val="1"/>
      <w:marLeft w:val="0"/>
      <w:marRight w:val="0"/>
      <w:marTop w:val="0"/>
      <w:marBottom w:val="0"/>
      <w:divBdr>
        <w:top w:val="none" w:sz="0" w:space="0" w:color="auto"/>
        <w:left w:val="none" w:sz="0" w:space="0" w:color="auto"/>
        <w:bottom w:val="none" w:sz="0" w:space="0" w:color="auto"/>
        <w:right w:val="none" w:sz="0" w:space="0" w:color="auto"/>
      </w:divBdr>
      <w:divsChild>
        <w:div w:id="2013406693">
          <w:marLeft w:val="0"/>
          <w:marRight w:val="0"/>
          <w:marTop w:val="0"/>
          <w:marBottom w:val="0"/>
          <w:divBdr>
            <w:top w:val="none" w:sz="0" w:space="0" w:color="auto"/>
            <w:left w:val="none" w:sz="0" w:space="0" w:color="auto"/>
            <w:bottom w:val="none" w:sz="0" w:space="0" w:color="auto"/>
            <w:right w:val="none" w:sz="0" w:space="0" w:color="auto"/>
          </w:divBdr>
        </w:div>
        <w:div w:id="166272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20-2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fu.gov.ua/2155463-z-1-sichnya-2023-roku-finansuvannya-strahuvalnykiv-dlya-vyplat-po-likarnyanyh-zdijsnyuvatyme-pensijnyj-fond-ukrayiny/"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1105-14" TargetMode="External"/><Relationship Id="rId11" Type="http://schemas.openxmlformats.org/officeDocument/2006/relationships/hyperlink" Target="https://school.golovbuh.com.ua/media/courses/%D0%92%D0%A8%D0%93/zrazok_zapovnennia_zaiavy-rozrakhunku.do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ufrnr-fUkdw" TargetMode="External"/><Relationship Id="rId4" Type="http://schemas.openxmlformats.org/officeDocument/2006/relationships/webSettings" Target="webSettings.xml"/><Relationship Id="rId9" Type="http://schemas.openxmlformats.org/officeDocument/2006/relationships/hyperlink" Target="https://zakon.rada.gov.ua/laws/show/1105-14"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689</Words>
  <Characters>4327</Characters>
  <Application>Microsoft Office Word</Application>
  <DocSecurity>0</DocSecurity>
  <Lines>166</Lines>
  <Paragraphs>139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Гончар</dc:creator>
  <cp:keywords/>
  <dc:description/>
  <cp:lastModifiedBy>Олена Гончар</cp:lastModifiedBy>
  <cp:revision>3</cp:revision>
  <dcterms:created xsi:type="dcterms:W3CDTF">2023-03-01T08:46:00Z</dcterms:created>
  <dcterms:modified xsi:type="dcterms:W3CDTF">2023-03-01T08:50:00Z</dcterms:modified>
</cp:coreProperties>
</file>