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160"/>
        <w:gridCol w:w="242"/>
        <w:gridCol w:w="1418"/>
        <w:gridCol w:w="811"/>
        <w:gridCol w:w="464"/>
        <w:gridCol w:w="1276"/>
      </w:tblGrid>
      <w:tr w:rsidR="003B23A7" w:rsidRPr="006507BF" w14:paraId="2E79C7D5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4BAA85C0" w14:textId="77777777" w:rsidR="00F014A9" w:rsidRDefault="00F014A9" w:rsidP="00F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ПОРІВНЯЛЬНА ТАБЛИЦ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Я</w:t>
            </w: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СТАВОК ПОДАТКІВ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 ІНШИХ ЗМІН</w:t>
            </w:r>
          </w:p>
          <w:p w14:paraId="67D9ED84" w14:textId="77777777" w:rsidR="003B23A7" w:rsidRPr="006507BF" w:rsidRDefault="00F014A9" w:rsidP="00F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ПІСЛЯ НАБУТТЯ ЧИННОСТІ ЗАКОНУ </w:t>
            </w: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4015</w:t>
            </w: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1</w:t>
            </w:r>
          </w:p>
        </w:tc>
      </w:tr>
      <w:tr w:rsidR="00EE0E61" w:rsidRPr="006507BF" w14:paraId="7FBC3066" w14:textId="77777777" w:rsidTr="00AD4FE5"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10F3F8EB" w14:textId="77777777" w:rsidR="00EE0E61" w:rsidRPr="006507BF" w:rsidRDefault="00EE0E61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Платники</w:t>
            </w:r>
          </w:p>
          <w:p w14:paraId="7AA10E3C" w14:textId="77777777" w:rsidR="00EE0E61" w:rsidRPr="006507BF" w:rsidRDefault="00EE0E61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податків</w:t>
            </w:r>
          </w:p>
        </w:tc>
        <w:tc>
          <w:tcPr>
            <w:tcW w:w="5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0FABFCDA" w14:textId="77777777" w:rsidR="00EE0E61" w:rsidRPr="0059619D" w:rsidRDefault="00EE0E61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96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Ставки податків</w:t>
            </w:r>
            <w:r w:rsidR="00734E5F" w:rsidRPr="00596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 інші зміни</w:t>
            </w:r>
            <w:r w:rsidRPr="00596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74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540FDDC8" w14:textId="0CF4BFFD" w:rsidR="00EE0E61" w:rsidRPr="006507BF" w:rsidRDefault="00EE0E61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Положення ПК</w:t>
            </w:r>
            <w:r w:rsidR="004F461F"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чи інших законів</w:t>
            </w: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, які оновлюються або додаються</w:t>
            </w:r>
          </w:p>
        </w:tc>
      </w:tr>
      <w:tr w:rsidR="00EE0E61" w:rsidRPr="006507BF" w14:paraId="0B0A5293" w14:textId="77777777" w:rsidTr="00AD4FE5">
        <w:tc>
          <w:tcPr>
            <w:tcW w:w="283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  <w:hideMark/>
          </w:tcPr>
          <w:p w14:paraId="7199A4B9" w14:textId="77777777" w:rsidR="00EE0E61" w:rsidRPr="006507BF" w:rsidRDefault="00EE0E61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2E514E29" w14:textId="77777777" w:rsidR="00261792" w:rsidRPr="0059619D" w:rsidRDefault="00BD04C9" w:rsidP="00C2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після</w:t>
            </w:r>
            <w:r w:rsidR="00AF1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  <w:hideMark/>
          </w:tcPr>
          <w:p w14:paraId="0030459A" w14:textId="77777777" w:rsidR="00EE0E61" w:rsidRPr="0059619D" w:rsidRDefault="00BD04C9" w:rsidP="0048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</w:t>
            </w:r>
          </w:p>
        </w:tc>
        <w:tc>
          <w:tcPr>
            <w:tcW w:w="1740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56EADC17" w14:textId="77777777" w:rsidR="00EE0E61" w:rsidRPr="006507BF" w:rsidRDefault="00EE0E61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B23A7" w:rsidRPr="006507BF" w14:paraId="169F16D1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260E88B4" w14:textId="77777777" w:rsidR="003B23A7" w:rsidRPr="006507BF" w:rsidRDefault="00487029" w:rsidP="00C2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в</w:t>
            </w:r>
            <w:r w:rsidR="00C25AD0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ійськовий збір</w:t>
            </w:r>
            <w:r w:rsidR="0067174D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(ВЗ)</w:t>
            </w:r>
            <w:r w:rsidR="00BA3C2E" w:rsidRPr="00BA3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uk-UA"/>
              </w:rPr>
              <w:t>1</w:t>
            </w:r>
          </w:p>
        </w:tc>
      </w:tr>
      <w:tr w:rsidR="00FE7CDF" w:rsidRPr="006507BF" w14:paraId="650E5487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03B16F5" w14:textId="77777777" w:rsidR="00FE7CDF" w:rsidRPr="006507BF" w:rsidRDefault="00FE7CDF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ФОП-загальники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EC9656" w14:textId="77777777" w:rsidR="00FE7CDF" w:rsidRDefault="00CC7728" w:rsidP="000D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  <w:r w:rsidR="00FE7CDF"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  <w:r w:rsidR="00FE7CDF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 w:rsidR="006E4379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чистого оподаткованого доходу</w:t>
            </w:r>
            <w:r w:rsidR="00E03BF3" w:rsidRPr="00E03B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2</w:t>
            </w:r>
          </w:p>
          <w:p w14:paraId="0050394A" w14:textId="379EF325" w:rsidR="0002373D" w:rsidRPr="00E03BF3" w:rsidRDefault="0002373D" w:rsidP="000D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5961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діє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 w:rsidRPr="000D67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з 1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січня</w:t>
            </w:r>
            <w:r w:rsidRPr="000D67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2024 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оку</w:t>
            </w:r>
            <w:r w:rsidRPr="000237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 w:eastAsia="uk-UA"/>
              </w:rPr>
              <w:t>3</w:t>
            </w:r>
            <w:r w:rsidRPr="005961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по 31 грудня року,  в якому буде припинено воєнний стан</w:t>
            </w: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B26968" w14:textId="77777777" w:rsidR="00FE7CDF" w:rsidRPr="00E03BF3" w:rsidRDefault="006E4379" w:rsidP="00CC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1,5%</w:t>
            </w:r>
            <w:r w:rsidR="00CC7728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чистого оподаткованого доходу</w:t>
            </w:r>
            <w:r w:rsidR="00E03B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2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78283FC" w14:textId="5FD9B20A" w:rsidR="00FE7CDF" w:rsidRPr="006507BF" w:rsidRDefault="00FE7CDF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 «1» пп. 1.3 п. 16</w:t>
            </w:r>
            <w:r w:rsidR="001C7F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підрозд. 10 </w:t>
            </w:r>
            <w:r w:rsidR="00A7268A"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="00A7268A" w:rsidRPr="00817725">
              <w:rPr>
                <w:rFonts w:ascii="Times New Roman" w:hAnsi="Times New Roman" w:cs="Times New Roman"/>
                <w:sz w:val="20"/>
                <w:szCs w:val="20"/>
              </w:rPr>
              <w:t xml:space="preserve">ерехідних положень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</w:t>
            </w:r>
          </w:p>
        </w:tc>
      </w:tr>
      <w:tr w:rsidR="006507BF" w:rsidRPr="006507BF" w14:paraId="4832FB2C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1CDB427" w14:textId="77777777" w:rsidR="00C25AD0" w:rsidRPr="0059619D" w:rsidRDefault="00C25AD0" w:rsidP="0096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ФОП-єдинники</w:t>
            </w:r>
            <w:r w:rsidR="009612FC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груп 1, 2 та 4 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B8538B2" w14:textId="51631471" w:rsidR="00DB48B5" w:rsidRPr="0059619D" w:rsidRDefault="00C25AD0" w:rsidP="00DB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96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10% МЗП</w:t>
            </w:r>
            <w:r w:rsidR="0002373D" w:rsidRPr="00023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uk-UA"/>
              </w:rPr>
              <w:t xml:space="preserve">4 </w:t>
            </w:r>
            <w:r w:rsidR="005D4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uk-UA"/>
              </w:rPr>
              <w:t xml:space="preserve"> </w:t>
            </w:r>
            <w:r w:rsid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DB48B5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  1 січня податкового (звітного) року –</w:t>
            </w:r>
            <w:r w:rsidR="006F34AE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розрахунку на календарний місяць</w:t>
            </w:r>
            <w:r w:rsidR="00BA3C2E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6856B6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6F34AE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= </w:t>
            </w:r>
            <w:r w:rsidR="00DB48B5" w:rsidRPr="00596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710</w:t>
            </w:r>
            <w:r w:rsidR="006F34AE" w:rsidRPr="00596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грн </w:t>
            </w:r>
            <w:r w:rsidR="006F34AE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щомісяця – </w:t>
            </w:r>
            <w:r w:rsidR="00DB48B5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2024 році; </w:t>
            </w:r>
            <w:r w:rsidR="00DB48B5" w:rsidRPr="00596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800 грн</w:t>
            </w:r>
            <w:r w:rsidR="00DB48B5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щомісяця – у 2025 році</w:t>
            </w:r>
            <w:r w:rsidR="006856B6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9C6642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="00445073" w:rsidRPr="005961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діє</w:t>
            </w:r>
            <w:r w:rsidR="00CA76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 w:rsidR="00CA765D" w:rsidRPr="000D67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з 1 </w:t>
            </w:r>
            <w:r w:rsidR="00CA76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січня</w:t>
            </w:r>
            <w:r w:rsidR="00CA765D" w:rsidRPr="000D67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2024 р</w:t>
            </w:r>
            <w:r w:rsidR="00CA76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оку</w:t>
            </w:r>
            <w:r w:rsidR="0002373D" w:rsidRPr="000237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 w:eastAsia="uk-UA"/>
              </w:rPr>
              <w:t>3</w:t>
            </w:r>
            <w:r w:rsidR="00445073" w:rsidRPr="005961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по 31 грудня року,  в якому буде припинено воєнний стан</w:t>
            </w:r>
            <w:r w:rsidR="009C6642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DD00AC" w14:textId="77777777" w:rsidR="00C25AD0" w:rsidRPr="0059619D" w:rsidRDefault="006F34AE" w:rsidP="00CC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сплачували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6F91A2" w14:textId="24760CE7" w:rsidR="00C25AD0" w:rsidRPr="006507BF" w:rsidRDefault="006F34AE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 «2» пп. 1.3 п. 16</w:t>
            </w:r>
            <w:r w:rsidR="001C7F0B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підрозд. 10 </w:t>
            </w:r>
            <w:r w:rsidR="00A7268A"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="00A7268A" w:rsidRPr="0059619D">
              <w:rPr>
                <w:rFonts w:ascii="Times New Roman" w:hAnsi="Times New Roman" w:cs="Times New Roman"/>
                <w:sz w:val="20"/>
                <w:szCs w:val="20"/>
              </w:rPr>
              <w:t xml:space="preserve">ерехідних положень </w:t>
            </w: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</w:t>
            </w:r>
          </w:p>
        </w:tc>
      </w:tr>
      <w:tr w:rsidR="00C25AD0" w:rsidRPr="006507BF" w14:paraId="3E275BDC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6DAA29F" w14:textId="77777777" w:rsidR="00C25AD0" w:rsidRPr="000D670B" w:rsidRDefault="00C25AD0" w:rsidP="0096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ФОП-єдинники групи 3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C9D8D38" w14:textId="77777777" w:rsidR="00FE7CDF" w:rsidRPr="00CA765D" w:rsidRDefault="00FE7CDF" w:rsidP="00CC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</w:pPr>
            <w:r w:rsidRPr="000D6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1% </w:t>
            </w:r>
            <w:r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доходу</w:t>
            </w:r>
            <w:r w:rsidR="00AD4F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5</w:t>
            </w:r>
          </w:p>
          <w:p w14:paraId="733F86EA" w14:textId="5929E765" w:rsidR="00445073" w:rsidRPr="0002373D" w:rsidRDefault="0002373D" w:rsidP="00CC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5961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діє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 w:rsidRPr="000D67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з 1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січня</w:t>
            </w:r>
            <w:r w:rsidRPr="000D67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2024 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оку</w:t>
            </w:r>
            <w:r w:rsidRPr="000237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val="ru-RU" w:eastAsia="uk-UA"/>
              </w:rPr>
              <w:t>3</w:t>
            </w:r>
            <w:r w:rsidRPr="005961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по 31 грудня року,  в якому буде припинено воєнний стан</w:t>
            </w:r>
            <w:r w:rsidRPr="005961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727BCA9" w14:textId="77777777" w:rsidR="00C25AD0" w:rsidRPr="000D670B" w:rsidRDefault="00FE7CDF" w:rsidP="00CC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сплачували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A7D90C2" w14:textId="3D900558" w:rsidR="00C25AD0" w:rsidRPr="006507BF" w:rsidRDefault="00FE7CDF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 «3» пп. 1.3 п. 16</w:t>
            </w:r>
            <w:r w:rsidR="001C7F0B"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підрозд. 10 </w:t>
            </w:r>
            <w:r w:rsidR="00A7268A"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="00A7268A" w:rsidRPr="000D670B">
              <w:rPr>
                <w:rFonts w:ascii="Times New Roman" w:hAnsi="Times New Roman" w:cs="Times New Roman"/>
                <w:sz w:val="20"/>
                <w:szCs w:val="20"/>
              </w:rPr>
              <w:t xml:space="preserve">ерехідних положень </w:t>
            </w:r>
            <w:r w:rsidRPr="000D67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</w:t>
            </w:r>
          </w:p>
        </w:tc>
      </w:tr>
      <w:tr w:rsidR="002F4FB0" w:rsidRPr="006507BF" w14:paraId="58344F9A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06FBEAA8" w14:textId="77777777" w:rsidR="002F4FB0" w:rsidRPr="006507BF" w:rsidRDefault="002F4FB0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фізособи, які провадять незалежну професійну діяльність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65D972" w14:textId="77777777" w:rsidR="002F4FB0" w:rsidRPr="006507BF" w:rsidRDefault="0067174D" w:rsidP="000D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  <w:r w:rsidR="002F4FB0"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  <w:r w:rsidR="002F4FB0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чистого оподаткованого доходу</w:t>
            </w:r>
            <w:r w:rsidR="006E4379" w:rsidRPr="006507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353968D" w14:textId="77777777" w:rsidR="002F4FB0" w:rsidRPr="006507BF" w:rsidRDefault="00F05484" w:rsidP="00CC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1,5%</w:t>
            </w:r>
            <w:r w:rsidR="00CC7728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чистого оподаткованого доходу</w:t>
            </w:r>
            <w:r w:rsidR="00CC7728" w:rsidRPr="006507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8C3522C" w14:textId="67E2AA08" w:rsidR="002F4FB0" w:rsidRPr="006507BF" w:rsidRDefault="00F05484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 «1» пп. 1.3 п. 16</w:t>
            </w:r>
            <w:r w:rsidR="001C7F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підрозд. 10 </w:t>
            </w:r>
            <w:r w:rsidR="00A7268A"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="00A7268A" w:rsidRPr="00817725">
              <w:rPr>
                <w:rFonts w:ascii="Times New Roman" w:hAnsi="Times New Roman" w:cs="Times New Roman"/>
                <w:sz w:val="20"/>
                <w:szCs w:val="20"/>
              </w:rPr>
              <w:t xml:space="preserve">ерехідних положень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</w:t>
            </w:r>
          </w:p>
        </w:tc>
      </w:tr>
      <w:tr w:rsidR="00BA3C2E" w:rsidRPr="006507BF" w14:paraId="2E7B29FC" w14:textId="77777777" w:rsidTr="00AD4FE5">
        <w:trPr>
          <w:trHeight w:val="25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EBD2E" w14:textId="77777777" w:rsidR="00BA3C2E" w:rsidRDefault="00BA3C2E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усі інші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фізособи</w:t>
            </w:r>
            <w:r w:rsidR="00323B80" w:rsidRPr="00323B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6</w:t>
            </w:r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  <w:p w14:paraId="210C7FAE" w14:textId="77777777" w:rsidR="00BA3C2E" w:rsidRDefault="00BA3C2E" w:rsidP="009612F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працівники;</w:t>
            </w:r>
          </w:p>
          <w:p w14:paraId="778AF440" w14:textId="77777777" w:rsidR="00BA3C2E" w:rsidRDefault="00BA3C2E" w:rsidP="009612F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виконавці робіт за цивільно-правовими договорами (ЦПД);</w:t>
            </w:r>
          </w:p>
          <w:p w14:paraId="28C92460" w14:textId="77777777" w:rsidR="00BA3C2E" w:rsidRDefault="00BA3C2E" w:rsidP="00BA3C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учасники (акціонери) господарських товариств;</w:t>
            </w:r>
          </w:p>
          <w:p w14:paraId="47854AB8" w14:textId="77777777" w:rsidR="00BA3C2E" w:rsidRPr="009612FC" w:rsidRDefault="00BA3C2E" w:rsidP="009612F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працівники та </w:t>
            </w:r>
            <w:proofErr w:type="spellStart"/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гіг</w:t>
            </w:r>
            <w:proofErr w:type="spellEnd"/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-спеціалісти резидентів Дія Сіті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</w:tc>
        <w:tc>
          <w:tcPr>
            <w:tcW w:w="3160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5F90587F" w14:textId="77777777" w:rsidR="00BA3C2E" w:rsidRPr="006507BF" w:rsidRDefault="00BA3C2E" w:rsidP="00CC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5%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загального місячного доходу</w:t>
            </w:r>
            <w:r w:rsidR="00AD4F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7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(у т.ч. зарплата, лікарняні, доходи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ЦПД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доходи від оренди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дивіденди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47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F9FF04E" w14:textId="4B108E82" w:rsidR="00DB44C9" w:rsidRDefault="00BA3C2E" w:rsidP="00CC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1,5%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загального місячного доходу</w:t>
            </w:r>
            <w:r w:rsidR="00323B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7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(у т.ч. зарплата, </w:t>
            </w:r>
            <w:r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лікарняні, доходи за ЦПД, доходи від оренди, дивіденди)</w:t>
            </w:r>
            <w:r w:rsidR="00DB44C9"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(виняток – безпосередня участь особи у здійсненні заходів оборони за пп. 1.7 п. 16-1 підрозд. 10 Перехідних положень ПК, коли діє звільнення від ВЗ для грошового забезпечення</w:t>
            </w:r>
            <w:r w:rsidR="00323B80" w:rsidRPr="00323B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8</w:t>
            </w:r>
            <w:r w:rsidR="00DB44C9"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14:paraId="75D2B6F3" w14:textId="77777777" w:rsidR="00DB44C9" w:rsidRPr="006507BF" w:rsidRDefault="00DB44C9" w:rsidP="00CC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FC18795" w14:textId="7DA1DBB4" w:rsidR="00BA3C2E" w:rsidRPr="006507BF" w:rsidRDefault="00BA3C2E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 «1» пп. 1.3 п.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підрозд. 10 П</w:t>
            </w:r>
            <w:r w:rsidRPr="00817725">
              <w:rPr>
                <w:rFonts w:ascii="Times New Roman" w:hAnsi="Times New Roman" w:cs="Times New Roman"/>
                <w:sz w:val="20"/>
                <w:szCs w:val="20"/>
              </w:rPr>
              <w:t xml:space="preserve">ерехідних положень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</w:t>
            </w:r>
          </w:p>
        </w:tc>
      </w:tr>
      <w:tr w:rsidR="00903F67" w:rsidRPr="006507BF" w14:paraId="03F18D50" w14:textId="77777777" w:rsidTr="00AD4F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6DA1" w14:textId="77777777" w:rsidR="00903F67" w:rsidRPr="009612FC" w:rsidRDefault="00903F67" w:rsidP="00BA3C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військовослужбовці та працівник</w:t>
            </w:r>
            <w:r w:rsidR="009612FC"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</w:t>
            </w:r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ЗСУ, СБУ, СЗРУ, ГУР Міноборони, Нацгвардії, Д</w:t>
            </w:r>
            <w:r w:rsidR="008014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ержавної прикордонної служби</w:t>
            </w:r>
            <w:r w:rsidR="0080141B" w:rsidRPr="008014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України, УДО України, Держслужби спецзв’язку і захисту інформації України, Державної спецслужби транспорту</w:t>
            </w:r>
          </w:p>
        </w:tc>
        <w:tc>
          <w:tcPr>
            <w:tcW w:w="31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FA8A575" w14:textId="753BE696" w:rsidR="00903F67" w:rsidRPr="006507BF" w:rsidRDefault="00903F67" w:rsidP="00CC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1,5%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загального місячного доходу</w:t>
            </w:r>
            <w:r w:rsidR="00AD4F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(у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грошове забезпечення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зарплата,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лікарняні, доходи за цивільно-</w:t>
            </w:r>
            <w:r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правовими договорами, доходи від оренди)</w:t>
            </w:r>
            <w:r w:rsidR="00516553"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9B208F"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(виняток</w:t>
            </w:r>
            <w:r w:rsidR="00DB44C9"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цих та інших осіб  залишається</w:t>
            </w:r>
            <w:r w:rsidR="009B208F"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безпосередня участь у здійсненні заходів оборони за пп. 1.7 п. 16-1 підрозд. 10 Перехідних положень ПК, коли діє звільнення від ВЗ для грошового забезпечення</w:t>
            </w:r>
            <w:r w:rsidR="00AD4F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8</w:t>
            </w:r>
            <w:r w:rsidR="009B208F" w:rsidRPr="000227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471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3E06FE5" w14:textId="77777777" w:rsidR="00903F67" w:rsidRPr="006507BF" w:rsidRDefault="00903F67" w:rsidP="00CC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431575E" w14:textId="457690AF" w:rsidR="00903F67" w:rsidRPr="006507BF" w:rsidRDefault="00903F67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 пп. 1.3 п.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підрозд. 10 П</w:t>
            </w:r>
            <w:r w:rsidRPr="00817725">
              <w:rPr>
                <w:rFonts w:ascii="Times New Roman" w:hAnsi="Times New Roman" w:cs="Times New Roman"/>
                <w:sz w:val="20"/>
                <w:szCs w:val="20"/>
              </w:rPr>
              <w:t xml:space="preserve">ерехідних положень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</w:t>
            </w:r>
          </w:p>
        </w:tc>
      </w:tr>
      <w:tr w:rsidR="00C25AD0" w:rsidRPr="006507BF" w14:paraId="40614921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64C6F992" w14:textId="77777777" w:rsidR="00C25AD0" w:rsidRPr="006507BF" w:rsidRDefault="00487029" w:rsidP="00C2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п</w:t>
            </w:r>
            <w:r w:rsidR="00C25AD0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одаток на прибуток</w:t>
            </w:r>
          </w:p>
        </w:tc>
      </w:tr>
      <w:tr w:rsidR="00FD421C" w:rsidRPr="006507BF" w14:paraId="134C8392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3F50D3" w14:textId="77777777" w:rsidR="00FD421C" w:rsidRPr="006507BF" w:rsidRDefault="00FD421C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банки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0CA6AF" w14:textId="77777777" w:rsidR="009C7E13" w:rsidRPr="006507BF" w:rsidRDefault="00FD421C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50%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прибутку </w:t>
            </w:r>
          </w:p>
          <w:p w14:paraId="5F63877A" w14:textId="77777777" w:rsidR="00FD421C" w:rsidRPr="00AD4FE5" w:rsidRDefault="00FD421C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(за звітний </w:t>
            </w:r>
            <w:r w:rsidRPr="009339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рік)</w:t>
            </w:r>
            <w:r w:rsidR="00AD4F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uk-UA"/>
              </w:rPr>
              <w:t>9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512F90" w14:textId="77777777" w:rsidR="00FD421C" w:rsidRPr="006507BF" w:rsidRDefault="00FD421C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25%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прибутку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9A4B6E" w14:textId="709972FF" w:rsidR="00FD421C" w:rsidRPr="006507BF" w:rsidRDefault="00FD421C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п. 70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підрозд. 4 Перехідних положень ПК</w:t>
            </w:r>
          </w:p>
        </w:tc>
      </w:tr>
      <w:tr w:rsidR="006507BF" w:rsidRPr="006507BF" w14:paraId="0B477013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602BE3" w14:textId="77777777" w:rsidR="00FD421C" w:rsidRPr="006507BF" w:rsidRDefault="009C7E13" w:rsidP="009C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</w:t>
            </w:r>
            <w:r w:rsidR="00FD421C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фінансові установи, у т.ч. ломбарди, кредитні спілки, інвестиційні фонди, лізингові компанії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факторингові компанії, </w:t>
            </w:r>
            <w:r w:rsidR="00FD421C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(крім страховиків)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8097FA" w14:textId="77777777" w:rsidR="00FD421C" w:rsidRPr="006507BF" w:rsidRDefault="00FD421C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25%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прибутку 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533D0B" w14:textId="77777777" w:rsidR="00FD421C" w:rsidRPr="006507BF" w:rsidRDefault="00FD421C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18%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прибутку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559A623" w14:textId="49DD9048" w:rsidR="00FD421C" w:rsidRPr="006507BF" w:rsidRDefault="009C7E13" w:rsidP="0096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 136.1</w:t>
            </w:r>
            <w:r w:rsidR="001C7F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ПК</w:t>
            </w:r>
          </w:p>
        </w:tc>
      </w:tr>
      <w:tr w:rsidR="004B792E" w:rsidRPr="004B792E" w14:paraId="66813038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4EA336FC" w14:textId="77777777" w:rsidR="004B792E" w:rsidRPr="004B792E" w:rsidRDefault="00487029" w:rsidP="009C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р</w:t>
            </w:r>
            <w:r w:rsidR="004B792E" w:rsidRPr="004B79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ентна плата</w:t>
            </w:r>
          </w:p>
        </w:tc>
      </w:tr>
      <w:tr w:rsidR="004B792E" w:rsidRPr="006507BF" w14:paraId="0761B2C0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523C9E9" w14:textId="77777777" w:rsidR="004B792E" w:rsidRPr="006507BF" w:rsidRDefault="004B792E" w:rsidP="004B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платники рентної плати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05A2E5" w14:textId="77777777" w:rsidR="004B792E" w:rsidRPr="006507BF" w:rsidRDefault="003116FE" w:rsidP="0031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оновлено шкалу фактичних цін на природний газ – </w:t>
            </w:r>
            <w:r w:rsidRPr="0063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400</w:t>
            </w:r>
            <w:r w:rsidR="00634C5A" w:rsidRPr="0063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$</w:t>
            </w:r>
            <w:r w:rsidRPr="00311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11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1000 </w:t>
            </w:r>
            <w:r w:rsidR="00AF11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8470E52" w14:textId="77777777" w:rsidR="004B792E" w:rsidRPr="006507BF" w:rsidRDefault="003116FE" w:rsidP="0031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шкалі ренти використовується фактична ціна на природний газ </w:t>
            </w:r>
            <w:r w:rsidRPr="0063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150</w:t>
            </w:r>
            <w:r w:rsidR="00634C5A" w:rsidRPr="0063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$</w:t>
            </w:r>
            <w:r w:rsidRPr="00311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116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1000 </w:t>
            </w:r>
            <w:r w:rsidR="00AF11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8FD458A" w14:textId="53F4E682" w:rsidR="004B792E" w:rsidRPr="004B792E" w:rsidRDefault="004B792E" w:rsidP="009C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 252.20</w:t>
            </w:r>
            <w:r w:rsidR="00801A50"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ПК</w:t>
            </w:r>
          </w:p>
        </w:tc>
      </w:tr>
      <w:tr w:rsidR="006507BF" w:rsidRPr="006507BF" w14:paraId="5AB55757" w14:textId="77777777" w:rsidTr="00AD4FE5"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4A132DA4" w14:textId="77777777" w:rsidR="006507BF" w:rsidRPr="006507BF" w:rsidRDefault="006507BF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Платники</w:t>
            </w:r>
          </w:p>
          <w:p w14:paraId="5CCAC7C4" w14:textId="77777777" w:rsidR="006507BF" w:rsidRPr="006507BF" w:rsidRDefault="006507BF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податків</w:t>
            </w:r>
          </w:p>
        </w:tc>
        <w:tc>
          <w:tcPr>
            <w:tcW w:w="5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6A5E8636" w14:textId="77777777" w:rsidR="006507BF" w:rsidRPr="006507BF" w:rsidRDefault="006507BF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Ставки податків та інші зміни:</w:t>
            </w:r>
          </w:p>
        </w:tc>
        <w:tc>
          <w:tcPr>
            <w:tcW w:w="174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474FC7EB" w14:textId="77777777" w:rsidR="006507BF" w:rsidRPr="006507BF" w:rsidRDefault="006507BF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Положення ПКУ чи інших законів, які оновлюються або додаються</w:t>
            </w:r>
          </w:p>
        </w:tc>
      </w:tr>
      <w:tr w:rsidR="00BD04C9" w:rsidRPr="006507BF" w14:paraId="07B6FE3B" w14:textId="77777777" w:rsidTr="00AD4FE5">
        <w:tc>
          <w:tcPr>
            <w:tcW w:w="283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  <w:hideMark/>
          </w:tcPr>
          <w:p w14:paraId="79E47DB1" w14:textId="77777777" w:rsidR="00BD04C9" w:rsidRPr="006507BF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4DB6EE61" w14:textId="77777777" w:rsidR="00BD04C9" w:rsidRPr="0059619D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після 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  <w:hideMark/>
          </w:tcPr>
          <w:p w14:paraId="7DE3DB79" w14:textId="77777777" w:rsidR="00BD04C9" w:rsidRPr="0059619D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</w:t>
            </w:r>
          </w:p>
        </w:tc>
        <w:tc>
          <w:tcPr>
            <w:tcW w:w="1740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2967A1CD" w14:textId="77777777" w:rsidR="00BD04C9" w:rsidRPr="006507BF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A3C2E" w:rsidRPr="007312FD" w14:paraId="50D7539D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1243DF39" w14:textId="77777777" w:rsidR="00BA3C2E" w:rsidRPr="007312FD" w:rsidRDefault="00487029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</w:t>
            </w:r>
            <w:r w:rsidR="00BA3C2E" w:rsidRPr="0073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одаток на доходи фізичних осіб</w:t>
            </w:r>
            <w:r w:rsidR="00BA3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(ПДФО)</w:t>
            </w:r>
          </w:p>
        </w:tc>
      </w:tr>
      <w:tr w:rsidR="00BA3C2E" w:rsidRPr="006507BF" w14:paraId="10768C0A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AF99EE" w14:textId="77777777" w:rsidR="00BA3C2E" w:rsidRDefault="00BA3C2E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фізособи</w:t>
            </w:r>
            <w:r w:rsidRPr="00731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EB12EE1" w14:textId="77777777" w:rsidR="00BA3C2E" w:rsidRDefault="00BA3C2E" w:rsidP="0096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входить до загального оподатковуваного доходу дохід у вигляді «національного кешбеку» «</w:t>
            </w:r>
            <w:r w:rsidRPr="007312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Зроблено в Україні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14:paraId="2E604B7A" w14:textId="77777777" w:rsidR="00BA3C2E" w:rsidRDefault="00BA3C2E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7312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за 2024 і 2025 роки)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F3C43B7" w14:textId="77777777" w:rsidR="00BA3C2E" w:rsidRDefault="00BA3C2E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врегульовано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5FE8665" w14:textId="1609EEC6" w:rsidR="00BA3C2E" w:rsidRDefault="00BA3C2E" w:rsidP="0096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п. 35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підрозд. 1 Перехідних положень ПК</w:t>
            </w:r>
          </w:p>
        </w:tc>
      </w:tr>
      <w:tr w:rsidR="007312FD" w:rsidRPr="006507BF" w14:paraId="0D7D4DBC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2EE709B7" w14:textId="77777777" w:rsidR="007312FD" w:rsidRPr="006507BF" w:rsidRDefault="00487029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а</w:t>
            </w:r>
            <w:r w:rsidR="007312FD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вансові внески з податку на прибуток </w:t>
            </w:r>
          </w:p>
          <w:p w14:paraId="706C8027" w14:textId="77777777" w:rsidR="007312FD" w:rsidRPr="006507BF" w:rsidRDefault="007312FD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(платежі зараховуються у сплату податку на прибуток)</w:t>
            </w:r>
          </w:p>
        </w:tc>
      </w:tr>
      <w:tr w:rsidR="007312FD" w:rsidRPr="006507BF" w14:paraId="74C643C1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B1BD8A0" w14:textId="77777777" w:rsidR="007312FD" w:rsidRPr="006507BF" w:rsidRDefault="007312FD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підприємства, що займаються роздрібною торгівлею пальним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65235DD" w14:textId="77777777" w:rsidR="007312FD" w:rsidRPr="006507BF" w:rsidRDefault="007312FD" w:rsidP="0096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щомісячний авансовий платіж 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(не пізніше</w:t>
            </w:r>
            <w:r w:rsidR="00D81BE1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20-го числа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поточного місяця</w:t>
            </w:r>
            <w:r w:rsidR="00D81BE1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кожне місце (АЗС) </w:t>
            </w:r>
            <w:r w:rsidR="00D81BE1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 тис. грн, 30 тис. грн, 45 тис. грн – залежно від пального)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AE91A8D" w14:textId="77777777" w:rsidR="007312FD" w:rsidRPr="006507BF" w:rsidRDefault="007312FD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відсутній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AC8711" w14:textId="1619D329" w:rsidR="007312FD" w:rsidRPr="006507BF" w:rsidRDefault="007312FD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 141.14 ПК</w:t>
            </w:r>
          </w:p>
        </w:tc>
      </w:tr>
      <w:tr w:rsidR="007312FD" w:rsidRPr="006507BF" w14:paraId="2C62B484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522463C" w14:textId="77777777" w:rsidR="007312FD" w:rsidRPr="006507BF" w:rsidRDefault="007312FD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підприємства, що займаються обміном іноземної валюти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EED6734" w14:textId="5537E8AB" w:rsidR="007312FD" w:rsidRPr="006507BF" w:rsidRDefault="007312FD" w:rsidP="0096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щомісячний авансовий платіж за кожний обмінний пункт (еквівалент 600, 700, 200 євро у залежності від місцевості) (</w:t>
            </w:r>
            <w:r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з 1 січня 2025 року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49D1606" w14:textId="77777777" w:rsidR="007312FD" w:rsidRPr="006507BF" w:rsidRDefault="007312FD" w:rsidP="0096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щомісячний авансовий платіж за кожний обмінний пункт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(3 або 1 або 1 МЗП</w:t>
            </w:r>
            <w:r w:rsidR="00CA765D" w:rsidRPr="00CA765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01.01 звітного року) (</w:t>
            </w:r>
            <w:r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по 31 грудня 2024 року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62BFBF" w14:textId="77C68C54" w:rsidR="007312FD" w:rsidRPr="006507BF" w:rsidRDefault="007312FD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141.13.2 ПК</w:t>
            </w:r>
          </w:p>
        </w:tc>
      </w:tr>
      <w:tr w:rsidR="004B792E" w:rsidRPr="006507BF" w14:paraId="57F8CD44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61B3F348" w14:textId="77777777" w:rsidR="004B792E" w:rsidRPr="006507BF" w:rsidRDefault="00487029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а</w:t>
            </w:r>
            <w:r w:rsidR="004B792E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вансові внески з ПДФО для ФОП-загальників</w:t>
            </w:r>
          </w:p>
          <w:p w14:paraId="4F890E5C" w14:textId="77777777" w:rsidR="004B792E" w:rsidRPr="006507BF" w:rsidRDefault="004B792E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(платежі зараховуються у сплату ПДФО)</w:t>
            </w:r>
          </w:p>
        </w:tc>
      </w:tr>
      <w:tr w:rsidR="004B792E" w:rsidRPr="006507BF" w14:paraId="5C16F907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EE78E7A" w14:textId="77777777" w:rsidR="004B792E" w:rsidRPr="006507BF" w:rsidRDefault="004B792E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ФОП-загальники, що здійснюють роздрібну торгівлю пальним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51EA4A" w14:textId="77777777" w:rsidR="004B792E" w:rsidRPr="006507BF" w:rsidRDefault="004B792E" w:rsidP="0096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окремий щомісяця (до 20-го числа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поточного місяця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– за кожне місце роздрібної торгівлі пальним  (60 тис. грн, 30 тис. грн, 45 тис. грн – залежно від пального), а також залишається квартальний авансовий внесок з ПДФО, як в усіх ФОП-загальників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95D80D" w14:textId="77777777" w:rsidR="004B792E" w:rsidRPr="006507BF" w:rsidRDefault="004B792E" w:rsidP="00D8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лише квартальний 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(до 20-го числа місяця </w:t>
            </w:r>
            <w:r w:rsidR="00C03F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наступного </w:t>
            </w:r>
            <w:r w:rsidR="00D81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після закінчення кварталу)</w:t>
            </w:r>
            <w:r w:rsidR="00632A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для всіх ФОП-загальників 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08E22EC" w14:textId="17027AD0" w:rsidR="004B792E" w:rsidRPr="006507BF" w:rsidRDefault="004B792E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 177.5.1 ПК,</w:t>
            </w:r>
          </w:p>
          <w:p w14:paraId="67DE740D" w14:textId="552E409F" w:rsidR="004B792E" w:rsidRPr="006507BF" w:rsidRDefault="004B792E" w:rsidP="009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пп.177.5.1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-1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</w:t>
            </w:r>
          </w:p>
        </w:tc>
      </w:tr>
      <w:tr w:rsidR="002C0D25" w:rsidRPr="006507BF" w14:paraId="0DAE47CC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785C72D5" w14:textId="77777777" w:rsidR="002C0D25" w:rsidRPr="006507BF" w:rsidRDefault="00487029" w:rsidP="002C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</w:t>
            </w:r>
            <w:r w:rsidR="002C0D25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інімальне податкове зобов’язання (МПЗ</w:t>
            </w:r>
            <w:r w:rsidR="00C76352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) користувачів сільгоспугідь</w:t>
            </w:r>
          </w:p>
        </w:tc>
      </w:tr>
      <w:tr w:rsidR="002C0D25" w:rsidRPr="006507BF" w14:paraId="45C85711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051EAB" w14:textId="77777777" w:rsidR="00863C3E" w:rsidRPr="006507BF" w:rsidRDefault="00863C3E" w:rsidP="0086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юрособи та фізособи, у т.ч. ФОП, які володіють чи користуються сільгоспугіддями</w:t>
            </w:r>
          </w:p>
          <w:p w14:paraId="497683DA" w14:textId="77777777" w:rsidR="002C0D25" w:rsidRPr="006507BF" w:rsidRDefault="00863C3E" w:rsidP="0086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(крім ФОП-єдинників групи</w:t>
            </w:r>
            <w:r w:rsidR="00AD4FE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4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межах фермерського господарства)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2AD143D" w14:textId="77777777" w:rsidR="002C0D25" w:rsidRPr="006F1C89" w:rsidRDefault="002C0D25" w:rsidP="002C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МПЗ збільшено через збільшення коефіцієнта</w:t>
            </w:r>
            <w:r w:rsidR="00261792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="004F461F"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зміни діють при розрахунку МПЗ </w:t>
            </w:r>
            <w:r w:rsidR="00261792"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за</w:t>
            </w:r>
            <w:r w:rsidR="004F461F"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 w:rsidR="00261792"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2025 рік по рік припинення воєнного стану</w:t>
            </w:r>
            <w:r w:rsidR="00261792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</w:p>
          <w:p w14:paraId="24EE6465" w14:textId="77777777" w:rsidR="00261792" w:rsidRPr="006507BF" w:rsidRDefault="002C0D25" w:rsidP="002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МПЗ = НГОд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×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0,057</w:t>
            </w:r>
            <w:r w:rsidR="00D4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×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  <w:p w14:paraId="688E304F" w14:textId="77777777" w:rsidR="00261792" w:rsidRPr="006507BF" w:rsidRDefault="00261792" w:rsidP="002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1E03AB0" w14:textId="77777777" w:rsidR="002C0D25" w:rsidRPr="006507BF" w:rsidRDefault="002C0D25" w:rsidP="002C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МПЗ = НГОд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×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0,05</w:t>
            </w:r>
            <w:r w:rsidR="00D4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×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D46D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3852AD" w14:textId="6A720367" w:rsidR="002C0D25" w:rsidRPr="006507BF" w:rsidRDefault="002C0D25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 67</w:t>
            </w:r>
            <w:r w:rsidR="001C7F0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8177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підрозд. 10 Перехідних положень ПК</w:t>
            </w:r>
          </w:p>
        </w:tc>
      </w:tr>
      <w:tr w:rsidR="00FD421C" w:rsidRPr="006507BF" w14:paraId="54EC1825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31C10511" w14:textId="77777777" w:rsidR="00FD421C" w:rsidRPr="006507BF" w:rsidRDefault="00487029" w:rsidP="000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п</w:t>
            </w:r>
            <w:r w:rsidR="00FD421C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одатковий розрахунок з єдиного соціального внеску, ПДФО та ВЗ</w:t>
            </w:r>
          </w:p>
        </w:tc>
      </w:tr>
      <w:tr w:rsidR="00FD421C" w:rsidRPr="006507BF" w14:paraId="2C84F081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0671B69" w14:textId="77777777" w:rsidR="00FD421C" w:rsidRPr="006507BF" w:rsidRDefault="00FD421C" w:rsidP="0096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податкові агенти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E934811" w14:textId="27A32AF9" w:rsidR="00FD421C" w:rsidRPr="006507BF" w:rsidRDefault="00FD421C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звітний період – місяць,</w:t>
            </w:r>
            <w:r w:rsid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строк подачі – 20 к. днів з кінця звітного місяця</w:t>
            </w:r>
            <w:r w:rsid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(зміни діють з 1 січня 2025 року)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3405B24" w14:textId="77777777" w:rsidR="00FD421C" w:rsidRPr="006507BF" w:rsidRDefault="00FD421C" w:rsidP="00C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звітний період – квартал,</w:t>
            </w:r>
          </w:p>
          <w:p w14:paraId="16F5474F" w14:textId="77777777" w:rsidR="00FD421C" w:rsidRPr="006507BF" w:rsidRDefault="00FD421C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строк подачі – 40 к. днів з кінця звітного кварталу</w:t>
            </w:r>
            <w:r w:rsidR="009612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(включаючи </w:t>
            </w:r>
            <w:r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uk-UA"/>
              </w:rPr>
              <w:t>IV</w:t>
            </w:r>
            <w:r w:rsidRPr="009612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uk-UA"/>
              </w:rPr>
              <w:t xml:space="preserve"> </w:t>
            </w:r>
            <w:r w:rsidRPr="006507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квартал 2024)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ABD5579" w14:textId="32F978FC" w:rsidR="00FD421C" w:rsidRPr="006507BF" w:rsidRDefault="00FD421C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п. 51.1 ПК</w:t>
            </w:r>
          </w:p>
        </w:tc>
      </w:tr>
      <w:tr w:rsidR="00261792" w:rsidRPr="006507BF" w14:paraId="63B34E4A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030B4DC6" w14:textId="77777777" w:rsidR="00261792" w:rsidRPr="006507BF" w:rsidRDefault="00487029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</w:t>
            </w:r>
            <w:r w:rsidR="00261792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інімальні оптово-відпускні і роздрібні ціни</w:t>
            </w:r>
            <w:r w:rsidR="004F461F" w:rsidRPr="0065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на вино</w:t>
            </w:r>
          </w:p>
        </w:tc>
      </w:tr>
      <w:tr w:rsidR="00261792" w:rsidRPr="006507BF" w14:paraId="7C706C1B" w14:textId="77777777" w:rsidTr="00AD4FE5"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0CF50E9" w14:textId="77777777" w:rsidR="00261792" w:rsidRPr="006507BF" w:rsidRDefault="00261792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продавці вин виноградних та іншої виноробної продукції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C5FFE4B" w14:textId="77777777" w:rsidR="00261792" w:rsidRPr="006507BF" w:rsidRDefault="00261792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ціни</w:t>
            </w:r>
            <w:r w:rsidR="004F461F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продукт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збільшено: </w:t>
            </w:r>
          </w:p>
          <w:p w14:paraId="69AB62A1" w14:textId="77777777" w:rsidR="00261792" w:rsidRPr="006507BF" w:rsidRDefault="00261792" w:rsidP="00FD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+ 50%</w:t>
            </w:r>
            <w:r w:rsidR="004F461F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існуючих цін</w:t>
            </w:r>
          </w:p>
        </w:tc>
        <w:tc>
          <w:tcPr>
            <w:tcW w:w="24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F39D17" w14:textId="39B45A9D" w:rsidR="00261792" w:rsidRPr="006507BF" w:rsidRDefault="00261792" w:rsidP="004F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ціни </w:t>
            </w:r>
            <w:r w:rsidR="004F461F"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окремі види алкогольних напоїв </w:t>
            </w: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визначені </w:t>
            </w:r>
            <w:hyperlink r:id="rId7" w:anchor="Text" w:history="1">
              <w:r w:rsidRPr="006507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постановою КМУ</w:t>
              </w:r>
              <w:r w:rsidR="004F461F" w:rsidRPr="006507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 xml:space="preserve"> </w:t>
              </w:r>
              <w:r w:rsidRPr="006507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від 30</w:t>
              </w:r>
              <w:r w:rsidR="004F461F" w:rsidRPr="006507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.10.</w:t>
              </w:r>
              <w:r w:rsidRPr="006507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2008 № 957</w:t>
              </w:r>
            </w:hyperlink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2DE7D0F" w14:textId="783C1259" w:rsidR="00261792" w:rsidRPr="006507BF" w:rsidRDefault="004F461F" w:rsidP="0096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п. 32 Перехідних положень </w:t>
            </w:r>
            <w:hyperlink r:id="rId8" w:anchor="n2199" w:history="1">
              <w:r w:rsidRPr="006507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Закону від 18.06.2024</w:t>
              </w:r>
              <w:r w:rsidR="00140E5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 xml:space="preserve"> </w:t>
              </w:r>
              <w:r w:rsidRPr="006507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№ 3817</w:t>
              </w:r>
            </w:hyperlink>
          </w:p>
        </w:tc>
      </w:tr>
      <w:tr w:rsidR="00FD421C" w:rsidRPr="005D4E32" w14:paraId="1CCF87F7" w14:textId="77777777" w:rsidTr="00AD4FE5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FF048D5" w14:textId="5CE5C0FC" w:rsidR="00AD4FE5" w:rsidRPr="005D4E32" w:rsidRDefault="00FD421C" w:rsidP="00F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 – 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Закон № 4015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Закон «Про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стану» від 10.10.2024 № 401</w:t>
            </w:r>
            <w:r w:rsidR="00022718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5D4E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він же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  <w:hyperlink r:id="rId9" w:history="1">
              <w:r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Законопроєкт № 11416-д</w:t>
              </w:r>
            </w:hyperlink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3622DE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="00323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Закон набув чинності</w:t>
            </w:r>
            <w:r w:rsidR="003F6964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F6964" w:rsidRPr="00323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грудня 2024 року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Доходи платників ВЗ, нараховані за наслідками податкових періодів до набрання чинності Закон</w:t>
            </w:r>
            <w:r w:rsidR="00323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="00933977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4015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оподатковуються за ставкою ВЗ</w:t>
            </w:r>
            <w:r w:rsidR="00323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1,5% 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незалежно від дати фактичної виплати (надання)</w:t>
            </w:r>
            <w:r w:rsidR="00323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таких доходів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крім випадків, прямо передбачених ПКУ.</w:t>
            </w:r>
            <w:r w:rsidR="000A7627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Зміни щодо </w:t>
            </w:r>
            <w:r w:rsidR="000A7627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запровадження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ВЗ</w:t>
            </w:r>
            <w:r w:rsidR="00191F11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фізосіб</w:t>
            </w:r>
            <w:r w:rsidR="00445073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-єдинників</w:t>
            </w:r>
            <w:r w:rsidR="00191F11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є тимчасовими та діють з 1 жовтня 2024 року </w:t>
            </w:r>
            <w:r w:rsidR="007533BE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31 грудня року, в якому буде припинено воєнний стан</w:t>
            </w:r>
            <w:r w:rsidR="00E03BF3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</w:t>
            </w:r>
            <w:hyperlink r:id="rId10" w:history="1">
              <w:r w:rsidR="00E03BF3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Закон</w:t>
              </w:r>
              <w:r w:rsidR="005D4E32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о</w:t>
              </w:r>
              <w:r w:rsidR="005D4E32" w:rsidRPr="005D4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</w:t>
              </w:r>
              <w:r w:rsidR="00E03BF3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 xml:space="preserve"> від 04.12.2024 р. № 4113</w:t>
              </w:r>
            </w:hyperlink>
            <w:r w:rsidR="00E03BF3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який станом на 20.12.2024 не набув чинності, </w:t>
            </w:r>
            <w:r w:rsid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ВЗ для ФОП-єдинників впроваджується не</w:t>
            </w:r>
            <w:r w:rsidR="00E03BF3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1 </w:t>
            </w:r>
            <w:r w:rsidR="005D23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жовтня </w:t>
            </w:r>
            <w:r w:rsidR="00E03BF3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року</w:t>
            </w:r>
            <w:r w:rsid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а з </w:t>
            </w:r>
            <w:r w:rsidR="00E03BF3" w:rsidRPr="005D4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січня 2024 року</w:t>
            </w:r>
            <w:r w:rsidR="00E03BF3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14:paraId="40270B7D" w14:textId="58AE07CE" w:rsidR="00FD421C" w:rsidRDefault="00CA765D" w:rsidP="00F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A76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  <w:r w:rsidR="00FD421C" w:rsidRPr="005D4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чистий оподаткуваний дохід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це доходи за мінусом дозволених витрат (правила визначення для ФОП-загальників містить </w:t>
            </w:r>
            <w:hyperlink r:id="rId11" w:anchor="n4292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ст.</w:t>
              </w:r>
              <w:r w:rsidR="00FD421C" w:rsidRPr="005D4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177 ПКУ;</w:t>
              </w:r>
            </w:hyperlink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«незалежників» – </w:t>
            </w:r>
            <w:hyperlink r:id="rId12" w:anchor="n4316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ст.</w:t>
              </w:r>
              <w:r w:rsidR="00FD421C" w:rsidRPr="005D4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178</w:t>
              </w:r>
              <w:r w:rsidR="00FD421C" w:rsidRPr="005D4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ПК</w:t>
              </w:r>
            </w:hyperlink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). Для ВЗ застосовується та ж сама база оподаткування, що й для розрахунку ПДФО (18%). Є частиною загального місячного доходу фізособи (</w:t>
            </w:r>
            <w:hyperlink r:id="rId13" w:anchor="n3619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ст. 163 ПК</w:t>
              </w:r>
            </w:hyperlink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14:paraId="34F09AD8" w14:textId="730A3ED3" w:rsidR="00FD421C" w:rsidRDefault="00BD04C9" w:rsidP="00F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  <w:r w:rsidR="00E03BF3" w:rsidRPr="005D4E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– </w:t>
            </w:r>
            <w:r w:rsidR="005D4E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за </w:t>
            </w:r>
            <w:hyperlink r:id="rId14" w:history="1">
              <w:r w:rsidR="005D4E32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Законо</w:t>
              </w:r>
              <w:r w:rsidR="005D4E32" w:rsidRPr="005D4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</w:t>
              </w:r>
              <w:r w:rsidR="005D4E32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 xml:space="preserve"> від 04.12.2024 № 4113</w:t>
              </w:r>
            </w:hyperlink>
            <w:r w:rsidR="005D4E32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який станом на 20.12.2024 не набув чинності</w:t>
            </w:r>
            <w:r w:rsidR="00323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="005D23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ним ВЗ впроваджується для ФОП-єдинників з 1 січня 2025 року, а не з 1 жовтня 2024 року;</w:t>
            </w:r>
          </w:p>
          <w:p w14:paraId="0D71218B" w14:textId="77777777" w:rsidR="00BD04C9" w:rsidRPr="00CA765D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4</w:t>
            </w:r>
            <w:r w:rsidRPr="00CA76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– 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МЗП (мінімальна зарплата)</w:t>
            </w: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у жовтні-грудні 2024 року становить 8000 грн, з січня по грудень 2025 року теж очікується 8000 грн (</w:t>
            </w:r>
            <w:hyperlink r:id="rId15" w:anchor="n36" w:history="1">
              <w:r w:rsidRPr="00BD04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 xml:space="preserve">ст. 8 </w:t>
              </w:r>
              <w:r w:rsidRPr="00BD04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Закону про Держбюджет України на 2025 рік</w:t>
              </w:r>
            </w:hyperlink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14:paraId="48209981" w14:textId="77777777" w:rsidR="00FD421C" w:rsidRPr="005D4E32" w:rsidRDefault="00AD4FE5" w:rsidP="00F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дохід ФОП-єдинника визначається за правилами </w:t>
            </w:r>
            <w:hyperlink r:id="rId16" w:anchor="n7038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ст. 292 ПКУ</w:t>
              </w:r>
            </w:hyperlink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Це той же дохід, з якого сплачується єдиний податок (3% або 5%);</w:t>
            </w:r>
          </w:p>
          <w:p w14:paraId="25ADB2B2" w14:textId="3F850D46" w:rsidR="00FD421C" w:rsidRPr="005D4E32" w:rsidRDefault="00AD4FE5" w:rsidP="00F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фізособи за переліком з </w:t>
            </w:r>
            <w:hyperlink r:id="rId17" w:anchor="n3611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п. 162.1 ПК</w:t>
              </w:r>
            </w:hyperlink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Це </w:t>
            </w:r>
            <w:r w:rsidR="00634C5A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1) 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фізособи-резиденти, які отримують доходи як з джерела їх походження в Україні, так і іноземні доходи</w:t>
            </w:r>
            <w:r w:rsidR="00634C5A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у т.ч. </w:t>
            </w:r>
            <w:r w:rsidR="00D81BE1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фізособи-підприємці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r w:rsidR="00634C5A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2) 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фізособи-резиденти, які володіють та/або користуються (орендують, суборендують), на умовах </w:t>
            </w:r>
            <w:hyperlink r:id="rId18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емфітевзису</w:t>
              </w:r>
            </w:hyperlink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постійно користуються земельними ділянками, що віднесені до сільгоспугідь, у частині </w:t>
            </w:r>
            <w:hyperlink r:id="rId19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МПЗ</w:t>
              </w:r>
            </w:hyperlink>
            <w:r w:rsidR="00634C5A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r w:rsidR="009243E4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3) </w:t>
            </w:r>
            <w:r w:rsidR="00634C5A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ізособи-нерезиденти, які отримують доходи з джерелом походження в Україні; податкові агенти;</w:t>
            </w:r>
          </w:p>
          <w:p w14:paraId="13AD1F6C" w14:textId="6E5B057A" w:rsidR="00FD421C" w:rsidRPr="005D4E32" w:rsidRDefault="00AD4FE5" w:rsidP="00F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складові </w:t>
            </w:r>
            <w:r w:rsidR="00FD421C" w:rsidRPr="005D4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загального місячного доходу 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містить</w:t>
            </w:r>
            <w:r w:rsidR="00FD421C" w:rsidRPr="005D4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hyperlink r:id="rId20" w:anchor="n3619" w:history="1">
              <w:r w:rsidR="00FD421C"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ст. 163 ПК</w:t>
              </w:r>
            </w:hyperlink>
            <w:r w:rsidR="003116FE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</w:p>
          <w:p w14:paraId="739B3405" w14:textId="77777777" w:rsidR="00DB44C9" w:rsidRPr="005D4E32" w:rsidRDefault="00AD4FE5" w:rsidP="00F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="00DB44C9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виняток діє за таким переліком осіб: працівники правоохоронних органів, військовослужбовці та працівники ЗСУ, Нацгвардії України, СБУ, СЗР України, Державної прикордонної служби України, </w:t>
            </w:r>
            <w:r w:rsidR="007533BE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</w:t>
            </w:r>
            <w:r w:rsidR="00DB44C9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рядового, начальницького складу, військовослужбовців, працівників МВС України, УДО України, Держслужби спецзв’язку та захисту інформації України, інших утворених відповідно до законів України військових формувань та інші особи на період їх безпосередньої участі у заходах оборони;</w:t>
            </w:r>
          </w:p>
          <w:p w14:paraId="24279017" w14:textId="77777777" w:rsidR="00B11FE9" w:rsidRPr="005D4E32" w:rsidRDefault="00AD4FE5" w:rsidP="00DB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4E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  <w:r w:rsidR="00D46DBA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крім того, 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банкам заборонено за 2024 рік</w:t>
            </w:r>
            <w:r w:rsidR="00D46DBA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 розрахунку податку</w:t>
            </w:r>
            <w:r w:rsidR="00FD421C" w:rsidRPr="005D4E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зменшувати фінансовий результат до оподаткування на суму від’ємного значення об’єкта оподаткування минулих податкових (звітних) років</w:t>
            </w:r>
          </w:p>
        </w:tc>
      </w:tr>
      <w:tr w:rsidR="005D238E" w:rsidRPr="005D4E32" w14:paraId="7F47CC09" w14:textId="77777777" w:rsidTr="00BD04C9">
        <w:tc>
          <w:tcPr>
            <w:tcW w:w="102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</w:tcPr>
          <w:p w14:paraId="609FDEC1" w14:textId="77777777" w:rsidR="005D238E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lastRenderedPageBreak/>
              <w:t xml:space="preserve">ВІЙСЬКОВИЙ ЗБІР ДЛЯ ДОХОДІВ, ЗА ЯКИМИ ПОДАТКИ РОЗРАХОВУЮТЬСЯ </w:t>
            </w:r>
          </w:p>
          <w:p w14:paraId="70316BA6" w14:textId="77777777" w:rsidR="005D238E" w:rsidRPr="005455AC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У ДЕКЛАРАЦІЇ ПРО МАЙНОВИЙ СТАН І ДОХОДИ</w:t>
            </w:r>
          </w:p>
          <w:p w14:paraId="32FBC1D5" w14:textId="6359F40F" w:rsidR="005D238E" w:rsidRPr="005D4E32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(</w:t>
            </w:r>
            <w:r w:rsidRPr="005455AC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 xml:space="preserve"> </w:t>
            </w:r>
            <w:hyperlink r:id="rId21" w:history="1">
              <w:r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Законо</w:t>
              </w:r>
              <w:r w:rsidRPr="005D4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</w:t>
              </w:r>
              <w:r w:rsidRPr="005D4E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 xml:space="preserve"> від 04.12.2024 № 4113</w:t>
              </w:r>
            </w:hyperlink>
            <w:r w:rsidR="00F477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)</w:t>
            </w:r>
          </w:p>
        </w:tc>
      </w:tr>
      <w:tr w:rsidR="005D238E" w:rsidRPr="005D4E32" w14:paraId="4B9C6070" w14:textId="77777777" w:rsidTr="00BD04C9">
        <w:tc>
          <w:tcPr>
            <w:tcW w:w="623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14:paraId="006B764D" w14:textId="77777777" w:rsidR="005D238E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Вид доходів</w:t>
            </w:r>
          </w:p>
        </w:tc>
        <w:tc>
          <w:tcPr>
            <w:tcW w:w="26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E39696"/>
            <w:vAlign w:val="center"/>
          </w:tcPr>
          <w:p w14:paraId="35A6135B" w14:textId="77777777" w:rsidR="005D238E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 w:rsidRPr="00312E01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val="en-US" w:eastAsia="uk-UA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696"/>
            <w:vAlign w:val="center"/>
          </w:tcPr>
          <w:p w14:paraId="3F416A6B" w14:textId="77777777" w:rsidR="005D238E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 w:rsidRPr="00312E01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val="en-US" w:eastAsia="uk-UA"/>
              </w:rPr>
              <w:t>2025</w:t>
            </w:r>
          </w:p>
        </w:tc>
      </w:tr>
      <w:tr w:rsidR="005D238E" w:rsidRPr="005D4E32" w14:paraId="4209F3D4" w14:textId="77777777" w:rsidTr="00BD04C9">
        <w:tc>
          <w:tcPr>
            <w:tcW w:w="6238" w:type="dxa"/>
            <w:gridSpan w:val="3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492C9329" w14:textId="77777777" w:rsidR="005D238E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</w:tcPr>
          <w:p w14:paraId="4E166A01" w14:textId="77777777" w:rsidR="005D238E" w:rsidRPr="00312E01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січень-листопад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E39696"/>
          </w:tcPr>
          <w:p w14:paraId="4CED8799" w14:textId="77777777" w:rsidR="005D238E" w:rsidRPr="00312E01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CD40" w14:textId="77777777" w:rsidR="005D238E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</w:p>
        </w:tc>
      </w:tr>
      <w:tr w:rsidR="005D238E" w:rsidRPr="005D4E32" w14:paraId="1F7A2893" w14:textId="77777777" w:rsidTr="005B3B08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F538" w14:textId="77777777" w:rsidR="005D238E" w:rsidRDefault="005D238E" w:rsidP="005D238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7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1D348A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від операцій з майном;</w:t>
            </w:r>
          </w:p>
          <w:p w14:paraId="1B5B19B9" w14:textId="77777777" w:rsidR="005D238E" w:rsidRPr="005D238E" w:rsidRDefault="005D238E" w:rsidP="005D238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7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5D238E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успадковане чи отримане у дарунок майна</w:t>
            </w:r>
          </w:p>
        </w:tc>
        <w:tc>
          <w:tcPr>
            <w:tcW w:w="141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F6806A" w14:textId="77777777" w:rsidR="005D238E" w:rsidRPr="001D348A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1,5%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90A71" w14:textId="77777777" w:rsidR="005D238E" w:rsidRPr="001D348A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1D348A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8A22" w14:textId="77777777" w:rsidR="005D238E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 w:rsidRPr="001D348A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5%</w:t>
            </w:r>
          </w:p>
        </w:tc>
      </w:tr>
      <w:tr w:rsidR="005D238E" w:rsidRPr="005D4E32" w14:paraId="35EFA646" w14:textId="77777777" w:rsidTr="005D238E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A5F" w14:textId="77777777" w:rsidR="005D238E" w:rsidRPr="001D348A" w:rsidRDefault="005D238E" w:rsidP="005D238E">
            <w:pPr>
              <w:pStyle w:val="a3"/>
              <w:spacing w:after="0" w:line="240" w:lineRule="auto"/>
              <w:ind w:left="457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інші доходи, податки за якими розраховуються у декларації</w:t>
            </w:r>
            <w:r w:rsidR="00F477B8" w:rsidRPr="00F477B8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693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8F67A" w14:textId="77777777" w:rsidR="005D238E" w:rsidRPr="001D348A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1,5%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99A" w14:textId="77777777" w:rsidR="005D238E" w:rsidRPr="001D348A" w:rsidRDefault="005D238E" w:rsidP="005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</w:p>
        </w:tc>
      </w:tr>
      <w:tr w:rsidR="005D238E" w:rsidRPr="005D4E32" w14:paraId="486B6FAA" w14:textId="77777777" w:rsidTr="007062E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04A" w14:textId="77777777" w:rsidR="00F477B8" w:rsidRDefault="00F477B8" w:rsidP="005D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 – станом на 20.12.2024 чинності не набув;</w:t>
            </w:r>
          </w:p>
          <w:p w14:paraId="070E3DF4" w14:textId="756BFE88" w:rsidR="005D238E" w:rsidRPr="001D348A" w:rsidRDefault="00F477B8" w:rsidP="00F4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 –</w:t>
            </w:r>
            <w:r w:rsidR="005D238E" w:rsidRPr="001D348A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 сюди не входять доходи, за якими податки розраховували податкові агенти, наприклад зарплатні доходи</w:t>
            </w:r>
            <w:r w:rsidR="005D238E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 – за ними суми ПДФО та ВЗ переносяться (з 1 грудня 2024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 року </w:t>
            </w:r>
            <w:r w:rsidR="005D238E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 ВЗ за зарплатними доходами складає 1,5%)</w:t>
            </w:r>
          </w:p>
        </w:tc>
      </w:tr>
    </w:tbl>
    <w:p w14:paraId="5CA7A52C" w14:textId="77777777" w:rsidR="005D238E" w:rsidRDefault="005D238E" w:rsidP="005D2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842"/>
          <w:sz w:val="24"/>
          <w:szCs w:val="24"/>
          <w:highlight w:val="yellow"/>
          <w:lang w:eastAsia="uk-UA"/>
        </w:rPr>
      </w:pPr>
    </w:p>
    <w:p w14:paraId="26786FB7" w14:textId="77777777" w:rsidR="005D238E" w:rsidRDefault="005D238E"/>
    <w:sectPr w:rsidR="005D238E" w:rsidSect="009B208F">
      <w:headerReference w:type="default" r:id="rId22"/>
      <w:pgSz w:w="11906" w:h="16838"/>
      <w:pgMar w:top="1118" w:right="1440" w:bottom="9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6BF55" w14:textId="77777777" w:rsidR="001045B6" w:rsidRDefault="001045B6" w:rsidP="000F512B">
      <w:pPr>
        <w:spacing w:after="0" w:line="240" w:lineRule="auto"/>
      </w:pPr>
      <w:r>
        <w:separator/>
      </w:r>
    </w:p>
  </w:endnote>
  <w:endnote w:type="continuationSeparator" w:id="0">
    <w:p w14:paraId="23B34134" w14:textId="77777777" w:rsidR="001045B6" w:rsidRDefault="001045B6" w:rsidP="000F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BBA9" w14:textId="77777777" w:rsidR="001045B6" w:rsidRDefault="001045B6" w:rsidP="000F512B">
      <w:pPr>
        <w:spacing w:after="0" w:line="240" w:lineRule="auto"/>
      </w:pPr>
      <w:r>
        <w:separator/>
      </w:r>
    </w:p>
  </w:footnote>
  <w:footnote w:type="continuationSeparator" w:id="0">
    <w:p w14:paraId="04123EB9" w14:textId="77777777" w:rsidR="001045B6" w:rsidRDefault="001045B6" w:rsidP="000F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4182" w14:textId="77777777" w:rsidR="000F512B" w:rsidRDefault="000F512B">
    <w:pPr>
      <w:pStyle w:val="a7"/>
    </w:pPr>
    <w:r w:rsidRPr="001E6D52">
      <w:rPr>
        <w:noProof/>
      </w:rPr>
      <w:drawing>
        <wp:inline distT="0" distB="0" distL="0" distR="0" wp14:anchorId="62C5FE1E" wp14:editId="60B2B510">
          <wp:extent cx="675040" cy="273050"/>
          <wp:effectExtent l="0" t="0" r="0" b="0"/>
          <wp:docPr id="210221302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42" cy="27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7A98"/>
    <w:multiLevelType w:val="hybridMultilevel"/>
    <w:tmpl w:val="367A4C9A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51F0341"/>
    <w:multiLevelType w:val="hybridMultilevel"/>
    <w:tmpl w:val="B0F08ABE"/>
    <w:lvl w:ilvl="0" w:tplc="50A2F15A">
      <w:start w:val="80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6986"/>
    <w:multiLevelType w:val="hybridMultilevel"/>
    <w:tmpl w:val="236E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1773">
    <w:abstractNumId w:val="1"/>
  </w:num>
  <w:num w:numId="2" w16cid:durableId="658270098">
    <w:abstractNumId w:val="0"/>
  </w:num>
  <w:num w:numId="3" w16cid:durableId="116184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A7"/>
    <w:rsid w:val="00006150"/>
    <w:rsid w:val="00022718"/>
    <w:rsid w:val="0002373D"/>
    <w:rsid w:val="000A7627"/>
    <w:rsid w:val="000C7129"/>
    <w:rsid w:val="000D670B"/>
    <w:rsid w:val="000F512B"/>
    <w:rsid w:val="00102D10"/>
    <w:rsid w:val="001045B6"/>
    <w:rsid w:val="00140E59"/>
    <w:rsid w:val="00191F11"/>
    <w:rsid w:val="001C7F0B"/>
    <w:rsid w:val="00261792"/>
    <w:rsid w:val="00264B47"/>
    <w:rsid w:val="0027251E"/>
    <w:rsid w:val="002C0D25"/>
    <w:rsid w:val="002F4FB0"/>
    <w:rsid w:val="003116FE"/>
    <w:rsid w:val="00323B80"/>
    <w:rsid w:val="003622DE"/>
    <w:rsid w:val="003B23A7"/>
    <w:rsid w:val="003E66B2"/>
    <w:rsid w:val="003F6964"/>
    <w:rsid w:val="00410228"/>
    <w:rsid w:val="00445073"/>
    <w:rsid w:val="00467BBB"/>
    <w:rsid w:val="00487029"/>
    <w:rsid w:val="004A7190"/>
    <w:rsid w:val="004B792E"/>
    <w:rsid w:val="004F2D47"/>
    <w:rsid w:val="004F461F"/>
    <w:rsid w:val="004F639E"/>
    <w:rsid w:val="00516553"/>
    <w:rsid w:val="005455AC"/>
    <w:rsid w:val="0055632D"/>
    <w:rsid w:val="0059619D"/>
    <w:rsid w:val="005D238E"/>
    <w:rsid w:val="005D4E32"/>
    <w:rsid w:val="005E5573"/>
    <w:rsid w:val="0060462D"/>
    <w:rsid w:val="00606014"/>
    <w:rsid w:val="00632AE7"/>
    <w:rsid w:val="00634C5A"/>
    <w:rsid w:val="0064414E"/>
    <w:rsid w:val="006507BF"/>
    <w:rsid w:val="0067174D"/>
    <w:rsid w:val="006856B6"/>
    <w:rsid w:val="006E4379"/>
    <w:rsid w:val="006F1C89"/>
    <w:rsid w:val="006F34AE"/>
    <w:rsid w:val="007312FD"/>
    <w:rsid w:val="00734E5F"/>
    <w:rsid w:val="0074261A"/>
    <w:rsid w:val="007533BE"/>
    <w:rsid w:val="0080141B"/>
    <w:rsid w:val="00801A50"/>
    <w:rsid w:val="00811E06"/>
    <w:rsid w:val="00817725"/>
    <w:rsid w:val="008367F6"/>
    <w:rsid w:val="00860B26"/>
    <w:rsid w:val="00863C3E"/>
    <w:rsid w:val="008D6983"/>
    <w:rsid w:val="00903F67"/>
    <w:rsid w:val="00912A26"/>
    <w:rsid w:val="009243E4"/>
    <w:rsid w:val="00933977"/>
    <w:rsid w:val="009612FC"/>
    <w:rsid w:val="009B208F"/>
    <w:rsid w:val="009C6642"/>
    <w:rsid w:val="009C7E13"/>
    <w:rsid w:val="00A7268A"/>
    <w:rsid w:val="00A8649C"/>
    <w:rsid w:val="00AD4FE5"/>
    <w:rsid w:val="00AF115C"/>
    <w:rsid w:val="00B11FE9"/>
    <w:rsid w:val="00BA3C2E"/>
    <w:rsid w:val="00BD04C9"/>
    <w:rsid w:val="00BF2FC3"/>
    <w:rsid w:val="00C03F94"/>
    <w:rsid w:val="00C2543C"/>
    <w:rsid w:val="00C25AD0"/>
    <w:rsid w:val="00C76352"/>
    <w:rsid w:val="00C82DB7"/>
    <w:rsid w:val="00CA765D"/>
    <w:rsid w:val="00CC7728"/>
    <w:rsid w:val="00CE551C"/>
    <w:rsid w:val="00D46DBA"/>
    <w:rsid w:val="00D81299"/>
    <w:rsid w:val="00D81BE1"/>
    <w:rsid w:val="00DB2AE3"/>
    <w:rsid w:val="00DB44C9"/>
    <w:rsid w:val="00DB48B5"/>
    <w:rsid w:val="00E03BF3"/>
    <w:rsid w:val="00E570F7"/>
    <w:rsid w:val="00E629FA"/>
    <w:rsid w:val="00ED5E8A"/>
    <w:rsid w:val="00EE0E61"/>
    <w:rsid w:val="00EE2C27"/>
    <w:rsid w:val="00EF1AE6"/>
    <w:rsid w:val="00F014A9"/>
    <w:rsid w:val="00F05484"/>
    <w:rsid w:val="00F477B8"/>
    <w:rsid w:val="00FD421C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FBB0"/>
  <w15:chartTrackingRefBased/>
  <w15:docId w15:val="{F3037893-F617-B74F-A201-9425805F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A7"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56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56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856B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F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12B"/>
    <w:rPr>
      <w:sz w:val="22"/>
      <w:szCs w:val="22"/>
      <w:lang w:val="uk-UA"/>
    </w:rPr>
  </w:style>
  <w:style w:type="paragraph" w:styleId="a9">
    <w:name w:val="footer"/>
    <w:basedOn w:val="a"/>
    <w:link w:val="aa"/>
    <w:uiPriority w:val="99"/>
    <w:unhideWhenUsed/>
    <w:rsid w:val="000F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512B"/>
    <w:rPr>
      <w:sz w:val="22"/>
      <w:szCs w:val="22"/>
      <w:lang w:val="uk-UA"/>
    </w:rPr>
  </w:style>
  <w:style w:type="table" w:styleId="ab">
    <w:name w:val="Table Grid"/>
    <w:basedOn w:val="a1"/>
    <w:uiPriority w:val="39"/>
    <w:rsid w:val="005D238E"/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17-20" TargetMode="External"/><Relationship Id="rId13" Type="http://schemas.openxmlformats.org/officeDocument/2006/relationships/hyperlink" Target="https://zakon.rada.gov.ua/laws/show/2755-17/ed20241001" TargetMode="External"/><Relationship Id="rId18" Type="http://schemas.openxmlformats.org/officeDocument/2006/relationships/hyperlink" Target="https://buhplatforma.com.ua/article/7711-emftevzis-2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d.rada.gov.ua/billInfo/Bills/Card/41965" TargetMode="External"/><Relationship Id="rId7" Type="http://schemas.openxmlformats.org/officeDocument/2006/relationships/hyperlink" Target="https://zakon.rada.gov.ua/laws/show/957-2008-&#1087;" TargetMode="External"/><Relationship Id="rId12" Type="http://schemas.openxmlformats.org/officeDocument/2006/relationships/hyperlink" Target="https://zakon.rada.gov.ua/laws/show/2755-17/ed20241001" TargetMode="External"/><Relationship Id="rId17" Type="http://schemas.openxmlformats.org/officeDocument/2006/relationships/hyperlink" Target="https://zakon.rada.gov.ua/laws/show/2755-17/ed20241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755-17/ed20241001" TargetMode="External"/><Relationship Id="rId20" Type="http://schemas.openxmlformats.org/officeDocument/2006/relationships/hyperlink" Target="https://zakon.rada.gov.ua/laws/show/2755-17/ed20241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755-17/ed202410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4059-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d.rada.gov.ua/billInfo/Bills/Card/41965" TargetMode="External"/><Relationship Id="rId19" Type="http://schemas.openxmlformats.org/officeDocument/2006/relationships/hyperlink" Target="https://buhplatforma.com.ua/article/9292-mnmalne-podatkove-zobovyazannya-2022-yak-agrar-splachuvatimut-noviy-podat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d.rada.gov.ua/billinfo/Bills/Card/44809" TargetMode="External"/><Relationship Id="rId14" Type="http://schemas.openxmlformats.org/officeDocument/2006/relationships/hyperlink" Target="https://itd.rada.gov.ua/billInfo/Bills/Card/4196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Мар‘яна Микитин</cp:lastModifiedBy>
  <cp:revision>6</cp:revision>
  <cp:lastPrinted>2024-11-30T19:10:00Z</cp:lastPrinted>
  <dcterms:created xsi:type="dcterms:W3CDTF">2024-11-30T19:10:00Z</dcterms:created>
  <dcterms:modified xsi:type="dcterms:W3CDTF">2024-12-23T14:31:00Z</dcterms:modified>
  <cp:category/>
</cp:coreProperties>
</file>