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BC96D" w14:textId="14A369AB" w:rsidR="00044BEB" w:rsidRPr="00EA2BB8" w:rsidRDefault="00044BEB" w:rsidP="00044BEB">
      <w:pPr>
        <w:pStyle w:val="ShiftCtrlAlt"/>
        <w:rPr>
          <w:lang w:val="uk-UA"/>
        </w:rPr>
      </w:pPr>
      <w:r w:rsidRPr="00044BEB">
        <w:rPr>
          <w:lang w:val="uk-UA"/>
        </w:rPr>
        <w:t>Як заповнити Додаток 1</w:t>
      </w:r>
      <w:r w:rsidR="00EA2BB8">
        <w:rPr>
          <w:lang w:val="en-US"/>
        </w:rPr>
        <w:t xml:space="preserve"> </w:t>
      </w:r>
      <w:r w:rsidR="00EA2BB8">
        <w:rPr>
          <w:lang w:val="uk-UA"/>
        </w:rPr>
        <w:t>Декларації з акцизного податку</w:t>
      </w:r>
    </w:p>
    <w:p w14:paraId="11EB5E40" w14:textId="77777777" w:rsidR="00044BEB" w:rsidRPr="00044BEB" w:rsidRDefault="00044BEB" w:rsidP="00044BEB">
      <w:pPr>
        <w:pStyle w:val="Ctr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84"/>
        <w:gridCol w:w="3084"/>
        <w:gridCol w:w="3226"/>
      </w:tblGrid>
      <w:tr w:rsidR="00044BEB" w:rsidRPr="00044BEB" w14:paraId="18446DDC" w14:textId="77777777" w:rsidTr="00291E67">
        <w:tc>
          <w:tcPr>
            <w:tcW w:w="845" w:type="dxa"/>
          </w:tcPr>
          <w:p w14:paraId="0D8B7646" w14:textId="77777777" w:rsidR="00044BEB" w:rsidRPr="00044BEB" w:rsidRDefault="00044BEB" w:rsidP="000B46D9">
            <w:pPr>
              <w:pStyle w:val="ShiftCtrlAlt1"/>
              <w:rPr>
                <w:lang w:val="uk-UA"/>
              </w:rPr>
            </w:pPr>
            <w:r w:rsidRPr="00044BEB">
              <w:rPr>
                <w:lang w:val="uk-UA"/>
              </w:rPr>
              <w:t>Графа</w:t>
            </w:r>
          </w:p>
        </w:tc>
        <w:tc>
          <w:tcPr>
            <w:tcW w:w="2413" w:type="dxa"/>
          </w:tcPr>
          <w:p w14:paraId="3A4517AC" w14:textId="77777777" w:rsidR="00044BEB" w:rsidRPr="00044BEB" w:rsidRDefault="00044BEB" w:rsidP="000B46D9">
            <w:pPr>
              <w:pStyle w:val="ShiftCtrlAlt1"/>
              <w:rPr>
                <w:lang w:val="uk-UA"/>
              </w:rPr>
            </w:pPr>
            <w:r w:rsidRPr="00044BEB">
              <w:rPr>
                <w:lang w:val="uk-UA"/>
              </w:rPr>
              <w:t>Назва графи</w:t>
            </w:r>
          </w:p>
        </w:tc>
        <w:tc>
          <w:tcPr>
            <w:tcW w:w="3260" w:type="dxa"/>
          </w:tcPr>
          <w:p w14:paraId="07A9FCD3" w14:textId="77777777" w:rsidR="00044BEB" w:rsidRPr="00044BEB" w:rsidRDefault="00044BEB" w:rsidP="000B46D9">
            <w:pPr>
              <w:pStyle w:val="ShiftCtrlAlt1"/>
              <w:rPr>
                <w:lang w:val="uk-UA"/>
              </w:rPr>
            </w:pPr>
            <w:r w:rsidRPr="00044BEB">
              <w:rPr>
                <w:lang w:val="uk-UA"/>
              </w:rPr>
              <w:t>Сума податкового зобов’язання</w:t>
            </w:r>
            <w:r>
              <w:rPr>
                <w:lang w:val="uk-UA"/>
              </w:rPr>
              <w:br/>
            </w:r>
            <w:r w:rsidRPr="00044BEB">
              <w:rPr>
                <w:lang w:val="uk-UA"/>
              </w:rPr>
              <w:t>з акцизного податку</w:t>
            </w:r>
          </w:p>
        </w:tc>
        <w:tc>
          <w:tcPr>
            <w:tcW w:w="3826" w:type="dxa"/>
          </w:tcPr>
          <w:p w14:paraId="1F54EE3D" w14:textId="77777777" w:rsidR="00044BEB" w:rsidRPr="00044BEB" w:rsidRDefault="00044BEB" w:rsidP="000B46D9">
            <w:pPr>
              <w:pStyle w:val="ShiftCtrlAlt1"/>
              <w:rPr>
                <w:lang w:val="uk-UA"/>
              </w:rPr>
            </w:pPr>
            <w:r w:rsidRPr="00044BEB">
              <w:rPr>
                <w:lang w:val="uk-UA"/>
              </w:rPr>
              <w:t>Як обчислити</w:t>
            </w:r>
          </w:p>
        </w:tc>
      </w:tr>
      <w:tr w:rsidR="00044BEB" w:rsidRPr="00044BEB" w14:paraId="4129EAAD" w14:textId="77777777" w:rsidTr="00291E67">
        <w:tc>
          <w:tcPr>
            <w:tcW w:w="845" w:type="dxa"/>
          </w:tcPr>
          <w:p w14:paraId="14374048" w14:textId="77777777" w:rsidR="00044BEB" w:rsidRPr="00044BEB" w:rsidRDefault="00044BEB" w:rsidP="000B46D9">
            <w:pPr>
              <w:pStyle w:val="ShiftCtrlAlt0"/>
              <w:rPr>
                <w:lang w:val="uk-UA"/>
              </w:rPr>
            </w:pPr>
            <w:r w:rsidRPr="00044BEB">
              <w:rPr>
                <w:lang w:val="uk-UA"/>
              </w:rPr>
              <w:t>15.1</w:t>
            </w:r>
          </w:p>
        </w:tc>
        <w:tc>
          <w:tcPr>
            <w:tcW w:w="2413" w:type="dxa"/>
          </w:tcPr>
          <w:p w14:paraId="26A9B5D7" w14:textId="77777777" w:rsidR="00044BEB" w:rsidRPr="00044BEB" w:rsidRDefault="00044BEB" w:rsidP="000B46D9">
            <w:pPr>
              <w:pStyle w:val="ShiftCtrlAlt0"/>
              <w:rPr>
                <w:lang w:val="uk-UA"/>
              </w:rPr>
            </w:pPr>
            <w:r w:rsidRPr="00044BEB">
              <w:rPr>
                <w:lang w:val="uk-UA"/>
              </w:rPr>
              <w:t>не сплачена через отримання пільг (грн)</w:t>
            </w:r>
          </w:p>
        </w:tc>
        <w:tc>
          <w:tcPr>
            <w:tcW w:w="3260" w:type="dxa"/>
          </w:tcPr>
          <w:p w14:paraId="57B1CEF9" w14:textId="77777777" w:rsidR="00044BEB" w:rsidRPr="00044BEB" w:rsidRDefault="00044BEB" w:rsidP="000B46D9">
            <w:pPr>
              <w:pStyle w:val="ShiftCtrlAlt0"/>
              <w:rPr>
                <w:lang w:val="uk-UA"/>
              </w:rPr>
            </w:pPr>
            <w:r w:rsidRPr="00044BEB">
              <w:rPr>
                <w:lang w:val="uk-UA"/>
              </w:rPr>
              <w:t>У гривні</w:t>
            </w:r>
          </w:p>
        </w:tc>
        <w:tc>
          <w:tcPr>
            <w:tcW w:w="3826" w:type="dxa"/>
          </w:tcPr>
          <w:p w14:paraId="5B5E0670" w14:textId="77777777" w:rsidR="00044BEB" w:rsidRPr="00044BEB" w:rsidRDefault="00044BEB" w:rsidP="000B46D9">
            <w:pPr>
              <w:pStyle w:val="ShiftCtrlAlt0"/>
              <w:rPr>
                <w:lang w:val="uk-UA"/>
              </w:rPr>
            </w:pPr>
            <w:r w:rsidRPr="00044BEB">
              <w:rPr>
                <w:lang w:val="uk-UA"/>
              </w:rPr>
              <w:t xml:space="preserve">Врахуйте </w:t>
            </w:r>
            <w:r w:rsidRPr="00044BEB">
              <w:rPr>
                <w:rStyle w:val="Bold"/>
                <w:lang w:val="uk-UA"/>
              </w:rPr>
              <w:t>неоподатковувані обороти</w:t>
            </w:r>
            <w:r w:rsidRPr="00044BEB">
              <w:rPr>
                <w:lang w:val="uk-UA"/>
              </w:rPr>
              <w:t xml:space="preserve"> (гр.</w:t>
            </w:r>
            <w:r>
              <w:rPr>
                <w:lang w:val="uk-UA"/>
              </w:rPr>
              <w:t> </w:t>
            </w:r>
            <w:r w:rsidRPr="00044BEB">
              <w:rPr>
                <w:lang w:val="uk-UA"/>
              </w:rPr>
              <w:t>11) і встановлену ставку в перерахунку на одиницю виміру товару (продукції) (гр.</w:t>
            </w:r>
            <w:r>
              <w:rPr>
                <w:lang w:val="uk-UA"/>
              </w:rPr>
              <w:t> </w:t>
            </w:r>
            <w:r w:rsidRPr="00044BEB">
              <w:rPr>
                <w:lang w:val="uk-UA"/>
              </w:rPr>
              <w:t>14) та офіційний курс гривні до євро* (якщо ставка встановлена в євро)</w:t>
            </w:r>
          </w:p>
        </w:tc>
      </w:tr>
      <w:tr w:rsidR="00044BEB" w:rsidRPr="00291E67" w14:paraId="1E8B2373" w14:textId="77777777" w:rsidTr="00291E67">
        <w:tc>
          <w:tcPr>
            <w:tcW w:w="845" w:type="dxa"/>
          </w:tcPr>
          <w:p w14:paraId="001CCF96" w14:textId="77777777" w:rsidR="00044BEB" w:rsidRPr="00044BEB" w:rsidRDefault="00044BEB" w:rsidP="000B46D9">
            <w:pPr>
              <w:pStyle w:val="ShiftCtrlAlt0"/>
              <w:rPr>
                <w:lang w:val="uk-UA"/>
              </w:rPr>
            </w:pPr>
            <w:r w:rsidRPr="00044BEB">
              <w:rPr>
                <w:lang w:val="uk-UA"/>
              </w:rPr>
              <w:t>15.2</w:t>
            </w:r>
          </w:p>
        </w:tc>
        <w:tc>
          <w:tcPr>
            <w:tcW w:w="2413" w:type="dxa"/>
          </w:tcPr>
          <w:p w14:paraId="6C544DB5" w14:textId="77777777" w:rsidR="00044BEB" w:rsidRPr="00044BEB" w:rsidRDefault="00044BEB" w:rsidP="000B46D9">
            <w:pPr>
              <w:pStyle w:val="ShiftCtrlAlt0"/>
              <w:rPr>
                <w:lang w:val="uk-UA"/>
              </w:rPr>
            </w:pPr>
            <w:r w:rsidRPr="00044BEB">
              <w:rPr>
                <w:lang w:val="uk-UA"/>
              </w:rPr>
              <w:t>за операціями, які є об’єктом оподаткування, (усього)</w:t>
            </w:r>
          </w:p>
        </w:tc>
        <w:tc>
          <w:tcPr>
            <w:tcW w:w="3260" w:type="dxa"/>
          </w:tcPr>
          <w:p w14:paraId="79361D00" w14:textId="77777777" w:rsidR="00044BEB" w:rsidRPr="00044BEB" w:rsidRDefault="00044BEB" w:rsidP="000B46D9">
            <w:pPr>
              <w:pStyle w:val="ShiftCtrlAlt0"/>
              <w:rPr>
                <w:lang w:val="uk-UA"/>
              </w:rPr>
            </w:pPr>
            <w:r w:rsidRPr="00044BEB">
              <w:rPr>
                <w:lang w:val="uk-UA"/>
              </w:rPr>
              <w:t>Яка підлягає сплаті до бюджету з операцій реалізації на митній території України та імпорту підакцизних товарів (продукції), за якими є обсяги наднормативних втрат та/або відходів</w:t>
            </w:r>
            <w:r>
              <w:rPr>
                <w:lang w:val="uk-UA"/>
              </w:rPr>
              <w:t> </w:t>
            </w:r>
            <w:r w:rsidRPr="00044BEB">
              <w:rPr>
                <w:lang w:val="uk-UA"/>
              </w:rPr>
              <w:t>/ наднормативних витрат</w:t>
            </w:r>
            <w:r>
              <w:rPr>
                <w:lang w:val="uk-UA"/>
              </w:rPr>
              <w:t> </w:t>
            </w:r>
            <w:r w:rsidRPr="00044BEB">
              <w:rPr>
                <w:lang w:val="uk-UA"/>
              </w:rPr>
              <w:t>/ незабезпечення нормативного виходу виробниками/імпортерами</w:t>
            </w:r>
          </w:p>
        </w:tc>
        <w:tc>
          <w:tcPr>
            <w:tcW w:w="3826" w:type="dxa"/>
          </w:tcPr>
          <w:p w14:paraId="2C038828" w14:textId="77777777" w:rsidR="00044BEB" w:rsidRPr="00044BEB" w:rsidRDefault="00044BEB" w:rsidP="000B46D9">
            <w:pPr>
              <w:pStyle w:val="ShiftCtrlAlt0"/>
              <w:rPr>
                <w:lang w:val="uk-UA"/>
              </w:rPr>
            </w:pPr>
            <w:r w:rsidRPr="00044BEB">
              <w:rPr>
                <w:lang w:val="uk-UA"/>
              </w:rPr>
              <w:t xml:space="preserve">Врахуйте </w:t>
            </w:r>
            <w:r w:rsidRPr="00044BEB">
              <w:rPr>
                <w:rStyle w:val="Bold"/>
                <w:lang w:val="uk-UA"/>
              </w:rPr>
              <w:t>фактичні оподатковані обсяги реалізації</w:t>
            </w:r>
            <w:r w:rsidRPr="00044BEB">
              <w:rPr>
                <w:lang w:val="uk-UA"/>
              </w:rPr>
              <w:t xml:space="preserve"> продукції у звітному періоді (гр.</w:t>
            </w:r>
            <w:r>
              <w:rPr>
                <w:lang w:val="uk-UA"/>
              </w:rPr>
              <w:t> </w:t>
            </w:r>
            <w:r w:rsidRPr="00044BEB">
              <w:rPr>
                <w:lang w:val="uk-UA"/>
              </w:rPr>
              <w:t>9) і ставку акцизного податку в перерахунку на одиницю виміру товару (продукції) (гр.</w:t>
            </w:r>
            <w:r>
              <w:rPr>
                <w:lang w:val="uk-UA"/>
              </w:rPr>
              <w:t> </w:t>
            </w:r>
            <w:r w:rsidRPr="00044BEB">
              <w:rPr>
                <w:lang w:val="uk-UA"/>
              </w:rPr>
              <w:t>14) та офіційний курс гривні до євро</w:t>
            </w:r>
          </w:p>
        </w:tc>
      </w:tr>
      <w:tr w:rsidR="00044BEB" w:rsidRPr="00044BEB" w14:paraId="1CED6F12" w14:textId="77777777" w:rsidTr="00291E67">
        <w:tc>
          <w:tcPr>
            <w:tcW w:w="845" w:type="dxa"/>
          </w:tcPr>
          <w:p w14:paraId="5ADBC01A" w14:textId="77777777" w:rsidR="00044BEB" w:rsidRPr="00044BEB" w:rsidRDefault="00044BEB" w:rsidP="000B46D9">
            <w:pPr>
              <w:pStyle w:val="ShiftCtrlAlt0"/>
              <w:rPr>
                <w:lang w:val="uk-UA"/>
              </w:rPr>
            </w:pPr>
            <w:r w:rsidRPr="00044BEB">
              <w:rPr>
                <w:lang w:val="uk-UA"/>
              </w:rPr>
              <w:t>15.2.1</w:t>
            </w:r>
          </w:p>
        </w:tc>
        <w:tc>
          <w:tcPr>
            <w:tcW w:w="2413" w:type="dxa"/>
          </w:tcPr>
          <w:p w14:paraId="3B6590AB" w14:textId="77777777" w:rsidR="00044BEB" w:rsidRPr="00044BEB" w:rsidRDefault="00044BEB" w:rsidP="000B46D9">
            <w:pPr>
              <w:pStyle w:val="ShiftCtrlAlt0"/>
              <w:rPr>
                <w:lang w:val="uk-UA"/>
              </w:rPr>
            </w:pPr>
            <w:r w:rsidRPr="00044BEB">
              <w:rPr>
                <w:lang w:val="uk-UA"/>
              </w:rPr>
              <w:t>у т. ч. за сформовані унікальні ідентифікатори, відповідно до електронних марок акцизного податку, які нанесені на товар (продукцію), що є об’єктом оподаткування</w:t>
            </w:r>
          </w:p>
        </w:tc>
        <w:tc>
          <w:tcPr>
            <w:tcW w:w="3260" w:type="dxa"/>
          </w:tcPr>
          <w:p w14:paraId="426BC730" w14:textId="77777777" w:rsidR="00044BEB" w:rsidRPr="00044BEB" w:rsidRDefault="00044BEB" w:rsidP="000B46D9">
            <w:pPr>
              <w:pStyle w:val="ShiftCtrlAlt0"/>
              <w:rPr>
                <w:lang w:val="uk-UA"/>
              </w:rPr>
            </w:pPr>
            <w:r w:rsidRPr="00044BEB">
              <w:rPr>
                <w:lang w:val="uk-UA"/>
              </w:rPr>
              <w:t>За сформовані на підставі повідомлення економічного оператора унікальні ідентифікатори, що засвідчують його зобов’язання сплатити до бюджету суму акцизного податку за таким повідомленням, яку обчислила Електронна система**, в строк, визначений у пункті</w:t>
            </w:r>
            <w:r>
              <w:rPr>
                <w:lang w:val="uk-UA"/>
              </w:rPr>
              <w:t> </w:t>
            </w:r>
            <w:r w:rsidRPr="00044BEB">
              <w:rPr>
                <w:lang w:val="uk-UA"/>
              </w:rPr>
              <w:t>222.4 ПК</w:t>
            </w:r>
          </w:p>
        </w:tc>
        <w:tc>
          <w:tcPr>
            <w:tcW w:w="3826" w:type="dxa"/>
          </w:tcPr>
          <w:p w14:paraId="3BC558D3" w14:textId="77777777" w:rsidR="00044BEB" w:rsidRPr="00044BEB" w:rsidRDefault="00044BEB" w:rsidP="000B46D9">
            <w:pPr>
              <w:pStyle w:val="ShiftCtrlAlt0"/>
              <w:rPr>
                <w:lang w:val="uk-UA"/>
              </w:rPr>
            </w:pPr>
            <w:r w:rsidRPr="00044BEB">
              <w:rPr>
                <w:lang w:val="uk-UA"/>
              </w:rPr>
              <w:t xml:space="preserve">До 1 січня 2026 року цю графу </w:t>
            </w:r>
            <w:r w:rsidRPr="00044BEB">
              <w:rPr>
                <w:rStyle w:val="Bold"/>
                <w:lang w:val="uk-UA"/>
              </w:rPr>
              <w:t>не заповнюйте</w:t>
            </w:r>
          </w:p>
        </w:tc>
      </w:tr>
      <w:tr w:rsidR="00044BEB" w:rsidRPr="00044BEB" w14:paraId="17D6AA6F" w14:textId="77777777" w:rsidTr="00291E67">
        <w:tc>
          <w:tcPr>
            <w:tcW w:w="845" w:type="dxa"/>
          </w:tcPr>
          <w:p w14:paraId="5BCAC5E7" w14:textId="77777777" w:rsidR="00044BEB" w:rsidRPr="00044BEB" w:rsidRDefault="00044BEB" w:rsidP="000B46D9">
            <w:pPr>
              <w:pStyle w:val="ShiftCtrlAlt0"/>
              <w:rPr>
                <w:lang w:val="uk-UA"/>
              </w:rPr>
            </w:pPr>
            <w:r w:rsidRPr="00044BEB">
              <w:rPr>
                <w:lang w:val="uk-UA"/>
              </w:rPr>
              <w:t>16</w:t>
            </w:r>
          </w:p>
        </w:tc>
        <w:tc>
          <w:tcPr>
            <w:tcW w:w="2413" w:type="dxa"/>
          </w:tcPr>
          <w:p w14:paraId="0D1709E2" w14:textId="77777777" w:rsidR="00044BEB" w:rsidRPr="00044BEB" w:rsidRDefault="00044BEB" w:rsidP="000B46D9">
            <w:pPr>
              <w:pStyle w:val="ShiftCtrlAlt0"/>
              <w:rPr>
                <w:lang w:val="uk-UA"/>
              </w:rPr>
            </w:pPr>
            <w:r w:rsidRPr="00044BEB">
              <w:rPr>
                <w:lang w:val="uk-UA"/>
              </w:rPr>
              <w:t>сума, яка підлягає сплаті до бюджету (грн)</w:t>
            </w:r>
            <w:r>
              <w:rPr>
                <w:lang w:val="uk-UA"/>
              </w:rPr>
              <w:br/>
            </w:r>
            <w:r w:rsidRPr="00044BEB">
              <w:rPr>
                <w:lang w:val="uk-UA"/>
              </w:rPr>
              <w:t>(гр. 15.2 – гр. 15.2.1)</w:t>
            </w:r>
          </w:p>
        </w:tc>
        <w:tc>
          <w:tcPr>
            <w:tcW w:w="3260" w:type="dxa"/>
          </w:tcPr>
          <w:p w14:paraId="47E2EA35" w14:textId="77777777" w:rsidR="00044BEB" w:rsidRPr="00044BEB" w:rsidRDefault="00044BEB" w:rsidP="000B46D9">
            <w:pPr>
              <w:pStyle w:val="ShiftCtrlAlt0"/>
              <w:rPr>
                <w:lang w:val="uk-UA"/>
              </w:rPr>
            </w:pPr>
            <w:r w:rsidRPr="00044BEB">
              <w:rPr>
                <w:lang w:val="uk-UA"/>
              </w:rPr>
              <w:t>За звітний період</w:t>
            </w:r>
          </w:p>
        </w:tc>
        <w:tc>
          <w:tcPr>
            <w:tcW w:w="3826" w:type="dxa"/>
          </w:tcPr>
          <w:p w14:paraId="673FDB8D" w14:textId="77777777" w:rsidR="00044BEB" w:rsidRPr="00044BEB" w:rsidRDefault="00044BEB" w:rsidP="000B46D9">
            <w:pPr>
              <w:pStyle w:val="ShiftCtrlAlt0"/>
              <w:rPr>
                <w:lang w:val="uk-UA"/>
              </w:rPr>
            </w:pPr>
            <w:r w:rsidRPr="00044BEB">
              <w:rPr>
                <w:lang w:val="uk-UA"/>
              </w:rPr>
              <w:t>Графа 15.2</w:t>
            </w:r>
            <w:r>
              <w:rPr>
                <w:lang w:val="uk-UA"/>
              </w:rPr>
              <w:t> </w:t>
            </w:r>
            <w:r w:rsidRPr="00044BEB">
              <w:rPr>
                <w:lang w:val="uk-UA"/>
              </w:rPr>
              <w:t>– графа 15.2.1</w:t>
            </w:r>
          </w:p>
        </w:tc>
      </w:tr>
      <w:tr w:rsidR="00044BEB" w:rsidRPr="00044BEB" w14:paraId="0531C583" w14:textId="77777777" w:rsidTr="00291E67">
        <w:tc>
          <w:tcPr>
            <w:tcW w:w="10344" w:type="dxa"/>
            <w:gridSpan w:val="4"/>
          </w:tcPr>
          <w:p w14:paraId="2155219E" w14:textId="77777777" w:rsidR="00044BEB" w:rsidRPr="00044BEB" w:rsidRDefault="00044BEB" w:rsidP="000B46D9">
            <w:pPr>
              <w:pStyle w:val="Ctrl0"/>
            </w:pPr>
            <w:r w:rsidRPr="00044BEB">
              <w:t>* Курс гривні до євро на перший день кварталу, в якому реалізуєте (передаєте) товар (продукцію).</w:t>
            </w:r>
          </w:p>
          <w:p w14:paraId="59F77434" w14:textId="77777777" w:rsidR="00044BEB" w:rsidRPr="00044BEB" w:rsidRDefault="00044BEB" w:rsidP="000B46D9">
            <w:pPr>
              <w:pStyle w:val="Ctrl0"/>
            </w:pPr>
            <w:r w:rsidRPr="00044BEB">
              <w:t>** Електронна система обігу алкогольних напоїв, тютюнових виробів та рідин, що використовуються в електронних сигаретах.</w:t>
            </w:r>
          </w:p>
        </w:tc>
      </w:tr>
    </w:tbl>
    <w:p w14:paraId="6172E52A" w14:textId="77777777" w:rsidR="00044BEB" w:rsidRPr="00044BEB" w:rsidRDefault="00044BEB" w:rsidP="00044BEB">
      <w:pPr>
        <w:pStyle w:val="Ctrl"/>
      </w:pPr>
    </w:p>
    <w:sectPr w:rsidR="00044BEB" w:rsidRPr="00044BE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00AE6" w14:textId="77777777" w:rsidR="00176393" w:rsidRDefault="00176393" w:rsidP="00291E67">
      <w:pPr>
        <w:spacing w:after="0" w:line="240" w:lineRule="auto"/>
      </w:pPr>
      <w:r>
        <w:separator/>
      </w:r>
    </w:p>
  </w:endnote>
  <w:endnote w:type="continuationSeparator" w:id="0">
    <w:p w14:paraId="601B7884" w14:textId="77777777" w:rsidR="00176393" w:rsidRDefault="00176393" w:rsidP="0029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D0016" w14:textId="77777777" w:rsidR="00176393" w:rsidRDefault="00176393" w:rsidP="00291E67">
      <w:pPr>
        <w:spacing w:after="0" w:line="240" w:lineRule="auto"/>
      </w:pPr>
      <w:r>
        <w:separator/>
      </w:r>
    </w:p>
  </w:footnote>
  <w:footnote w:type="continuationSeparator" w:id="0">
    <w:p w14:paraId="114CE796" w14:textId="77777777" w:rsidR="00176393" w:rsidRDefault="00176393" w:rsidP="00291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750"/>
      <w:gridCol w:w="6605"/>
    </w:tblGrid>
    <w:tr w:rsidR="00291E67" w:rsidRPr="00196312" w14:paraId="75D867D3" w14:textId="77777777" w:rsidTr="006A7F1B">
      <w:tc>
        <w:tcPr>
          <w:tcW w:w="4503" w:type="dxa"/>
          <w:hideMark/>
        </w:tcPr>
        <w:p w14:paraId="0710B3D7" w14:textId="77777777" w:rsidR="00291E67" w:rsidRPr="00196312" w:rsidRDefault="00291E67" w:rsidP="00291E67">
          <w:pPr>
            <w:pStyle w:val="a3"/>
          </w:pPr>
          <w:r w:rsidRPr="00196312">
            <w:rPr>
              <w:noProof/>
            </w:rPr>
            <w:drawing>
              <wp:inline distT="0" distB="0" distL="0" distR="0" wp14:anchorId="0A140CC8" wp14:editId="3E3B0356">
                <wp:extent cx="1424940" cy="594360"/>
                <wp:effectExtent l="0" t="0" r="3810" b="0"/>
                <wp:docPr id="1754929923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9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85" w:type="dxa"/>
          <w:hideMark/>
        </w:tcPr>
        <w:p w14:paraId="26CFFB33" w14:textId="77777777" w:rsidR="00291E67" w:rsidRPr="00196312" w:rsidRDefault="00291E67" w:rsidP="00291E67">
          <w:pPr>
            <w:pStyle w:val="a3"/>
            <w:jc w:val="right"/>
          </w:pPr>
          <w:proofErr w:type="spellStart"/>
          <w:r w:rsidRPr="00196312">
            <w:t>Відділ</w:t>
          </w:r>
          <w:proofErr w:type="spellEnd"/>
          <w:r w:rsidRPr="00196312">
            <w:t xml:space="preserve"> </w:t>
          </w:r>
          <w:proofErr w:type="spellStart"/>
          <w:r w:rsidRPr="00196312">
            <w:t>передплати</w:t>
          </w:r>
          <w:proofErr w:type="spellEnd"/>
          <w:r w:rsidRPr="00196312">
            <w:t>:</w:t>
          </w:r>
        </w:p>
        <w:p w14:paraId="13E4A0EE" w14:textId="77777777" w:rsidR="00291E67" w:rsidRPr="00196312" w:rsidRDefault="00291E67" w:rsidP="00291E67">
          <w:pPr>
            <w:pStyle w:val="a3"/>
            <w:jc w:val="right"/>
            <w:rPr>
              <w:b/>
              <w:bCs/>
            </w:rPr>
          </w:pPr>
          <w:r w:rsidRPr="00196312">
            <w:rPr>
              <w:b/>
              <w:bCs/>
            </w:rPr>
            <w:tab/>
          </w:r>
          <w:r w:rsidRPr="00196312">
            <w:rPr>
              <w:b/>
              <w:bCs/>
            </w:rPr>
            <w:tab/>
            <w:t>0 800 21 12 20</w:t>
          </w:r>
        </w:p>
        <w:p w14:paraId="44FE964A" w14:textId="77777777" w:rsidR="00291E67" w:rsidRPr="00196312" w:rsidRDefault="00291E67" w:rsidP="00291E67">
          <w:pPr>
            <w:pStyle w:val="a3"/>
            <w:jc w:val="right"/>
          </w:pPr>
          <w:proofErr w:type="spellStart"/>
          <w:proofErr w:type="gramStart"/>
          <w:r w:rsidRPr="00196312">
            <w:t>shop.expertus</w:t>
          </w:r>
          <w:proofErr w:type="gramEnd"/>
          <w:r w:rsidRPr="00196312">
            <w:t>.media</w:t>
          </w:r>
          <w:proofErr w:type="spellEnd"/>
        </w:p>
      </w:tc>
    </w:tr>
  </w:tbl>
  <w:p w14:paraId="512EEF2E" w14:textId="77777777" w:rsidR="00291E67" w:rsidRDefault="00291E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EB"/>
    <w:rsid w:val="00044BEB"/>
    <w:rsid w:val="000F657F"/>
    <w:rsid w:val="0012761E"/>
    <w:rsid w:val="00176393"/>
    <w:rsid w:val="00291E67"/>
    <w:rsid w:val="003F59AC"/>
    <w:rsid w:val="00447256"/>
    <w:rsid w:val="005951FA"/>
    <w:rsid w:val="0065175B"/>
    <w:rsid w:val="00783281"/>
    <w:rsid w:val="00976DC0"/>
    <w:rsid w:val="009A435E"/>
    <w:rsid w:val="00B41D5B"/>
    <w:rsid w:val="00EA2BB8"/>
    <w:rsid w:val="00EB1076"/>
    <w:rsid w:val="00F95628"/>
    <w:rsid w:val="00FE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956E"/>
  <w15:chartTrackingRefBased/>
  <w15:docId w15:val="{5925A370-2830-4F8C-BE29-2FB58584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EB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iftCtrlAlt">
    <w:name w:val="Таблица_заголовок (Таблица__Shift+Ctrl_Alt)"/>
    <w:uiPriority w:val="99"/>
    <w:rsid w:val="00044BEB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kern w:val="0"/>
      <w:sz w:val="24"/>
      <w:szCs w:val="24"/>
      <w:lang w:val="ru-RU"/>
      <w14:ligatures w14:val="none"/>
    </w:rPr>
  </w:style>
  <w:style w:type="paragraph" w:customStyle="1" w:styleId="Ctrl">
    <w:name w:val="Статья_основной_текст (Статья ___Ctrl)"/>
    <w:uiPriority w:val="1"/>
    <w:rsid w:val="00044BEB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kern w:val="0"/>
      <w:sz w:val="24"/>
      <w:szCs w:val="25"/>
      <w:lang w:val="uk-UA"/>
      <w14:ligatures w14:val="none"/>
    </w:rPr>
  </w:style>
  <w:style w:type="paragraph" w:customStyle="1" w:styleId="Ctrl0">
    <w:name w:val="Статья_сноска (Статья ___Ctrl)"/>
    <w:uiPriority w:val="1"/>
    <w:rsid w:val="00044BEB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kern w:val="0"/>
      <w:sz w:val="20"/>
      <w:szCs w:val="15"/>
      <w:lang w:val="uk-UA"/>
      <w14:ligatures w14:val="none"/>
    </w:rPr>
  </w:style>
  <w:style w:type="paragraph" w:customStyle="1" w:styleId="ShiftCtrlAlt0">
    <w:name w:val="Таблица_основной_текст (Таблица__Shift+Ctrl_Alt)"/>
    <w:uiPriority w:val="99"/>
    <w:rsid w:val="00044BEB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kern w:val="0"/>
      <w:szCs w:val="18"/>
      <w:lang w:val="ru-RU"/>
      <w14:ligatures w14:val="none"/>
    </w:rPr>
  </w:style>
  <w:style w:type="paragraph" w:customStyle="1" w:styleId="ShiftCtrlAlt1">
    <w:name w:val="Таблица_шапка (Таблица__Shift+Ctrl_Alt)"/>
    <w:basedOn w:val="ShiftCtrlAlt0"/>
    <w:uiPriority w:val="99"/>
    <w:rsid w:val="00044BEB"/>
    <w:pPr>
      <w:spacing w:line="180" w:lineRule="atLeast"/>
      <w:jc w:val="center"/>
    </w:pPr>
    <w:rPr>
      <w:b/>
      <w:bCs/>
      <w:szCs w:val="16"/>
    </w:rPr>
  </w:style>
  <w:style w:type="character" w:customStyle="1" w:styleId="Bold">
    <w:name w:val="Bold"/>
    <w:rsid w:val="00044BEB"/>
    <w:rPr>
      <w:rFonts w:ascii="Times New Roman" w:hAnsi="Times New Roman"/>
      <w:b/>
      <w:bCs/>
    </w:rPr>
  </w:style>
  <w:style w:type="paragraph" w:styleId="a3">
    <w:name w:val="header"/>
    <w:basedOn w:val="a"/>
    <w:link w:val="a4"/>
    <w:uiPriority w:val="99"/>
    <w:unhideWhenUsed/>
    <w:rsid w:val="002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E67"/>
    <w:rPr>
      <w:kern w:val="0"/>
      <w:lang w:val="ru-RU"/>
      <w14:ligatures w14:val="none"/>
    </w:rPr>
  </w:style>
  <w:style w:type="paragraph" w:styleId="a5">
    <w:name w:val="footer"/>
    <w:basedOn w:val="a"/>
    <w:link w:val="a6"/>
    <w:uiPriority w:val="99"/>
    <w:unhideWhenUsed/>
    <w:rsid w:val="002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1E67"/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BE3D52-3B6C-479E-860B-3865CD4DD4F1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2.xml><?xml version="1.0" encoding="utf-8"?>
<ds:datastoreItem xmlns:ds="http://schemas.openxmlformats.org/officeDocument/2006/customXml" ds:itemID="{82630DC1-A3C3-4DC9-BCF3-B651136EB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14288A-2283-41F7-977A-35737CBDE3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Альма Саібова</dc:creator>
  <cp:keywords/>
  <dc:description/>
  <cp:lastModifiedBy>Мар‘яна Микитин</cp:lastModifiedBy>
  <cp:revision>3</cp:revision>
  <dcterms:created xsi:type="dcterms:W3CDTF">2025-01-08T12:53:00Z</dcterms:created>
  <dcterms:modified xsi:type="dcterms:W3CDTF">2025-01-14T08:32:00Z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