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5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56"/>
        <w:gridCol w:w="3903"/>
        <w:gridCol w:w="3687"/>
      </w:tblGrid>
      <w:tr w:rsidR="00B61EF1" w:rsidRPr="00B61EF1" w14:paraId="05B64010" w14:textId="77777777" w:rsidTr="00B61EF1">
        <w:tc>
          <w:tcPr>
            <w:tcW w:w="9630" w:type="dxa"/>
            <w:gridSpan w:val="3"/>
            <w:tcBorders>
              <w:top w:val="outset" w:sz="6" w:space="0" w:color="auto"/>
              <w:left w:val="outset" w:sz="6" w:space="0" w:color="auto"/>
              <w:bottom w:val="outset" w:sz="6" w:space="0" w:color="auto"/>
              <w:right w:val="outset" w:sz="6" w:space="0" w:color="auto"/>
            </w:tcBorders>
            <w:shd w:val="clear" w:color="auto" w:fill="F4EBED"/>
            <w:hideMark/>
          </w:tcPr>
          <w:p w14:paraId="51AA1A0D" w14:textId="77777777" w:rsidR="00B61EF1" w:rsidRPr="00B61EF1" w:rsidRDefault="00B61EF1" w:rsidP="00B61EF1">
            <w:pPr>
              <w:jc w:val="center"/>
              <w:rPr>
                <w:rFonts w:ascii="Times New Roman" w:hAnsi="Times New Roman" w:cs="Times New Roman"/>
                <w:lang w:val="uk-UA"/>
              </w:rPr>
            </w:pPr>
            <w:r w:rsidRPr="00B61EF1">
              <w:rPr>
                <w:rFonts w:ascii="Times New Roman" w:hAnsi="Times New Roman" w:cs="Times New Roman"/>
                <w:b/>
                <w:bCs/>
                <w:lang w:val="uk-UA"/>
              </w:rPr>
              <w:t>ВИДИ ШТРАФІВ ДЛЯ ФОП ЗА ПОРУШЕННЯ ЗАКОНОДАВСТВА</w:t>
            </w:r>
          </w:p>
        </w:tc>
      </w:tr>
      <w:tr w:rsidR="00B61EF1" w:rsidRPr="00B61EF1" w14:paraId="3BDA25A4" w14:textId="77777777" w:rsidTr="00B61EF1">
        <w:tc>
          <w:tcPr>
            <w:tcW w:w="1665" w:type="dxa"/>
            <w:tcBorders>
              <w:top w:val="outset" w:sz="6" w:space="0" w:color="auto"/>
              <w:left w:val="outset" w:sz="6" w:space="0" w:color="auto"/>
              <w:bottom w:val="outset" w:sz="6" w:space="0" w:color="auto"/>
              <w:right w:val="outset" w:sz="6" w:space="0" w:color="auto"/>
            </w:tcBorders>
            <w:shd w:val="clear" w:color="auto" w:fill="F4EBED"/>
            <w:vAlign w:val="center"/>
            <w:hideMark/>
          </w:tcPr>
          <w:p w14:paraId="3BC46966" w14:textId="77777777" w:rsidR="00B61EF1" w:rsidRPr="00B61EF1" w:rsidRDefault="00B61EF1" w:rsidP="00B61EF1">
            <w:pPr>
              <w:jc w:val="center"/>
              <w:rPr>
                <w:rFonts w:ascii="Times New Roman" w:hAnsi="Times New Roman" w:cs="Times New Roman"/>
                <w:lang w:val="uk-UA"/>
              </w:rPr>
            </w:pPr>
            <w:r w:rsidRPr="00B61EF1">
              <w:rPr>
                <w:rFonts w:ascii="Times New Roman" w:hAnsi="Times New Roman" w:cs="Times New Roman"/>
                <w:b/>
                <w:bCs/>
                <w:lang w:val="uk-UA"/>
              </w:rPr>
              <w:t>Вид штрафу</w:t>
            </w:r>
          </w:p>
        </w:tc>
        <w:tc>
          <w:tcPr>
            <w:tcW w:w="4185" w:type="dxa"/>
            <w:tcBorders>
              <w:top w:val="outset" w:sz="6" w:space="0" w:color="auto"/>
              <w:left w:val="outset" w:sz="6" w:space="0" w:color="auto"/>
              <w:bottom w:val="outset" w:sz="6" w:space="0" w:color="auto"/>
              <w:right w:val="outset" w:sz="6" w:space="0" w:color="auto"/>
            </w:tcBorders>
            <w:shd w:val="clear" w:color="auto" w:fill="F4EBED"/>
            <w:vAlign w:val="center"/>
            <w:hideMark/>
          </w:tcPr>
          <w:p w14:paraId="790C41BF" w14:textId="77777777" w:rsidR="00B61EF1" w:rsidRPr="00B61EF1" w:rsidRDefault="00B61EF1" w:rsidP="00B61EF1">
            <w:pPr>
              <w:jc w:val="center"/>
              <w:rPr>
                <w:rFonts w:ascii="Times New Roman" w:hAnsi="Times New Roman" w:cs="Times New Roman"/>
                <w:lang w:val="uk-UA"/>
              </w:rPr>
            </w:pPr>
            <w:r w:rsidRPr="00B61EF1">
              <w:rPr>
                <w:rFonts w:ascii="Times New Roman" w:hAnsi="Times New Roman" w:cs="Times New Roman"/>
                <w:b/>
                <w:bCs/>
                <w:lang w:val="uk-UA"/>
              </w:rPr>
              <w:t>Порушення</w:t>
            </w:r>
          </w:p>
        </w:tc>
        <w:tc>
          <w:tcPr>
            <w:tcW w:w="3780" w:type="dxa"/>
            <w:tcBorders>
              <w:top w:val="outset" w:sz="6" w:space="0" w:color="auto"/>
              <w:left w:val="outset" w:sz="6" w:space="0" w:color="auto"/>
              <w:bottom w:val="outset" w:sz="6" w:space="0" w:color="auto"/>
              <w:right w:val="outset" w:sz="6" w:space="0" w:color="auto"/>
            </w:tcBorders>
            <w:shd w:val="clear" w:color="auto" w:fill="F4EBED"/>
            <w:vAlign w:val="center"/>
            <w:hideMark/>
          </w:tcPr>
          <w:p w14:paraId="66433877" w14:textId="77777777" w:rsidR="00B61EF1" w:rsidRPr="00B61EF1" w:rsidRDefault="00B61EF1" w:rsidP="00B61EF1">
            <w:pPr>
              <w:jc w:val="center"/>
              <w:rPr>
                <w:rFonts w:ascii="Times New Roman" w:hAnsi="Times New Roman" w:cs="Times New Roman"/>
                <w:lang w:val="uk-UA"/>
              </w:rPr>
            </w:pPr>
            <w:r w:rsidRPr="00B61EF1">
              <w:rPr>
                <w:rFonts w:ascii="Times New Roman" w:hAnsi="Times New Roman" w:cs="Times New Roman"/>
                <w:b/>
                <w:bCs/>
                <w:lang w:val="uk-UA"/>
              </w:rPr>
              <w:t>Законодавство, яке порушується</w:t>
            </w:r>
          </w:p>
        </w:tc>
      </w:tr>
      <w:tr w:rsidR="00B61EF1" w:rsidRPr="00B61EF1" w14:paraId="2BE32766" w14:textId="77777777" w:rsidTr="00B61EF1">
        <w:tc>
          <w:tcPr>
            <w:tcW w:w="9630" w:type="dxa"/>
            <w:gridSpan w:val="3"/>
            <w:tcBorders>
              <w:top w:val="outset" w:sz="6" w:space="0" w:color="auto"/>
              <w:left w:val="outset" w:sz="6" w:space="0" w:color="auto"/>
              <w:bottom w:val="outset" w:sz="6" w:space="0" w:color="auto"/>
              <w:right w:val="outset" w:sz="6" w:space="0" w:color="auto"/>
            </w:tcBorders>
            <w:shd w:val="clear" w:color="auto" w:fill="F4EBED"/>
            <w:vAlign w:val="center"/>
            <w:hideMark/>
          </w:tcPr>
          <w:p w14:paraId="3AE2DA72" w14:textId="77777777" w:rsidR="00B61EF1" w:rsidRPr="00B61EF1" w:rsidRDefault="00B61EF1" w:rsidP="00B61EF1">
            <w:pPr>
              <w:rPr>
                <w:rFonts w:ascii="Times New Roman" w:hAnsi="Times New Roman" w:cs="Times New Roman"/>
                <w:lang w:val="uk-UA"/>
              </w:rPr>
            </w:pPr>
            <w:r w:rsidRPr="00B61EF1">
              <w:rPr>
                <w:rFonts w:ascii="Times New Roman" w:hAnsi="Times New Roman" w:cs="Times New Roman"/>
                <w:b/>
                <w:bCs/>
                <w:i/>
                <w:iCs/>
                <w:lang w:val="uk-UA"/>
              </w:rPr>
              <w:t>адмініструванням займається ДПС:</w:t>
            </w:r>
          </w:p>
        </w:tc>
      </w:tr>
      <w:tr w:rsidR="00B61EF1" w:rsidRPr="00B61EF1" w14:paraId="16FCE883" w14:textId="77777777" w:rsidTr="00B61EF1">
        <w:tc>
          <w:tcPr>
            <w:tcW w:w="166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46B41AE" w14:textId="77777777" w:rsidR="00B61EF1" w:rsidRPr="00B61EF1" w:rsidRDefault="00B61EF1" w:rsidP="00B61EF1">
            <w:pPr>
              <w:rPr>
                <w:rFonts w:ascii="Times New Roman" w:hAnsi="Times New Roman" w:cs="Times New Roman"/>
                <w:lang w:val="uk-UA"/>
              </w:rPr>
            </w:pPr>
            <w:r w:rsidRPr="00B61EF1">
              <w:rPr>
                <w:rFonts w:ascii="Times New Roman" w:hAnsi="Times New Roman" w:cs="Times New Roman"/>
                <w:lang w:val="uk-UA"/>
              </w:rPr>
              <w:t>податкові</w:t>
            </w:r>
          </w:p>
        </w:tc>
        <w:tc>
          <w:tcPr>
            <w:tcW w:w="41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1C390F1" w14:textId="77777777" w:rsidR="00B61EF1" w:rsidRPr="00B61EF1" w:rsidRDefault="00B61EF1" w:rsidP="00B61EF1">
            <w:pPr>
              <w:rPr>
                <w:rFonts w:ascii="Times New Roman" w:hAnsi="Times New Roman" w:cs="Times New Roman"/>
                <w:lang w:val="uk-UA"/>
              </w:rPr>
            </w:pPr>
            <w:r w:rsidRPr="00B61EF1">
              <w:rPr>
                <w:rFonts w:ascii="Times New Roman" w:hAnsi="Times New Roman" w:cs="Times New Roman"/>
                <w:lang w:val="uk-UA"/>
              </w:rPr>
              <w:t>податкового законодавства, тобто правил нарахування податків і зборів, а також тих обов’язкових платежів, адміністрування яких покладено на податківців, зокрема </w:t>
            </w:r>
            <w:hyperlink r:id="rId7" w:history="1">
              <w:r w:rsidRPr="00B61EF1">
                <w:rPr>
                  <w:rStyle w:val="ac"/>
                  <w:rFonts w:ascii="Times New Roman" w:hAnsi="Times New Roman" w:cs="Times New Roman"/>
                  <w:b/>
                  <w:bCs/>
                  <w:lang w:val="uk-UA"/>
                </w:rPr>
                <w:t>єдиного соціального внеску</w:t>
              </w:r>
            </w:hyperlink>
            <w:r w:rsidRPr="00B61EF1">
              <w:rPr>
                <w:rFonts w:ascii="Times New Roman" w:hAnsi="Times New Roman" w:cs="Times New Roman"/>
                <w:b/>
                <w:bCs/>
                <w:lang w:val="uk-UA"/>
              </w:rPr>
              <w:t> (ЄСВ)</w:t>
            </w:r>
          </w:p>
        </w:tc>
        <w:tc>
          <w:tcPr>
            <w:tcW w:w="37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69C5A80" w14:textId="77777777" w:rsidR="00B61EF1" w:rsidRPr="00B61EF1" w:rsidRDefault="00B61EF1" w:rsidP="00B61EF1">
            <w:pPr>
              <w:numPr>
                <w:ilvl w:val="0"/>
                <w:numId w:val="1"/>
              </w:numPr>
              <w:rPr>
                <w:rFonts w:ascii="Times New Roman" w:hAnsi="Times New Roman" w:cs="Times New Roman"/>
                <w:lang w:val="uk-UA"/>
              </w:rPr>
            </w:pPr>
            <w:hyperlink r:id="rId8" w:anchor="n5506" w:tgtFrame="_blank" w:history="1">
              <w:r w:rsidRPr="00B61EF1">
                <w:rPr>
                  <w:rStyle w:val="ac"/>
                  <w:rFonts w:ascii="Times New Roman" w:hAnsi="Times New Roman" w:cs="Times New Roman"/>
                  <w:lang w:val="uk-UA"/>
                </w:rPr>
                <w:t>Податковий кодекс України</w:t>
              </w:r>
            </w:hyperlink>
            <w:r w:rsidRPr="00B61EF1">
              <w:rPr>
                <w:rFonts w:ascii="Times New Roman" w:hAnsi="Times New Roman" w:cs="Times New Roman"/>
                <w:lang w:val="uk-UA"/>
              </w:rPr>
              <w:t> (</w:t>
            </w:r>
            <w:r w:rsidRPr="00B61EF1">
              <w:rPr>
                <w:rFonts w:ascii="Times New Roman" w:hAnsi="Times New Roman" w:cs="Times New Roman"/>
                <w:i/>
                <w:iCs/>
                <w:lang w:val="uk-UA"/>
              </w:rPr>
              <w:t>далі</w:t>
            </w:r>
            <w:r w:rsidRPr="00B61EF1">
              <w:rPr>
                <w:rFonts w:ascii="Times New Roman" w:hAnsi="Times New Roman" w:cs="Times New Roman"/>
                <w:lang w:val="uk-UA"/>
              </w:rPr>
              <w:t> — </w:t>
            </w:r>
            <w:r w:rsidRPr="00B61EF1">
              <w:rPr>
                <w:rFonts w:ascii="Times New Roman" w:hAnsi="Times New Roman" w:cs="Times New Roman"/>
                <w:b/>
                <w:bCs/>
                <w:lang w:val="uk-UA"/>
              </w:rPr>
              <w:t>ПК</w:t>
            </w:r>
            <w:r w:rsidRPr="00B61EF1">
              <w:rPr>
                <w:rFonts w:ascii="Times New Roman" w:hAnsi="Times New Roman" w:cs="Times New Roman"/>
                <w:lang w:val="uk-UA"/>
              </w:rPr>
              <w:t>);</w:t>
            </w:r>
          </w:p>
          <w:p w14:paraId="57489805" w14:textId="77777777" w:rsidR="00B61EF1" w:rsidRPr="00B61EF1" w:rsidRDefault="00B61EF1" w:rsidP="00B61EF1">
            <w:pPr>
              <w:numPr>
                <w:ilvl w:val="0"/>
                <w:numId w:val="1"/>
              </w:numPr>
              <w:rPr>
                <w:rFonts w:ascii="Times New Roman" w:hAnsi="Times New Roman" w:cs="Times New Roman"/>
                <w:lang w:val="uk-UA"/>
              </w:rPr>
            </w:pPr>
            <w:hyperlink r:id="rId9" w:anchor="Text" w:tgtFrame="_blank" w:history="1">
              <w:r w:rsidRPr="00B61EF1">
                <w:rPr>
                  <w:rStyle w:val="ac"/>
                  <w:rFonts w:ascii="Times New Roman" w:hAnsi="Times New Roman" w:cs="Times New Roman"/>
                  <w:lang w:val="uk-UA"/>
                </w:rPr>
                <w:t>Закон України «Про збір та облік єдиного внеску на загальнообов’язкове державне соціальне страхування» від 08.07.2010 № 2464</w:t>
              </w:r>
            </w:hyperlink>
            <w:r w:rsidRPr="00B61EF1">
              <w:rPr>
                <w:rFonts w:ascii="Times New Roman" w:hAnsi="Times New Roman" w:cs="Times New Roman"/>
                <w:lang w:val="uk-UA"/>
              </w:rPr>
              <w:t> (</w:t>
            </w:r>
            <w:r w:rsidRPr="00B61EF1">
              <w:rPr>
                <w:rFonts w:ascii="Times New Roman" w:hAnsi="Times New Roman" w:cs="Times New Roman"/>
                <w:i/>
                <w:iCs/>
                <w:lang w:val="uk-UA"/>
              </w:rPr>
              <w:t>далі</w:t>
            </w:r>
            <w:r w:rsidRPr="00B61EF1">
              <w:rPr>
                <w:rFonts w:ascii="Times New Roman" w:hAnsi="Times New Roman" w:cs="Times New Roman"/>
                <w:lang w:val="uk-UA"/>
              </w:rPr>
              <w:t> — </w:t>
            </w:r>
            <w:r w:rsidRPr="00B61EF1">
              <w:rPr>
                <w:rFonts w:ascii="Times New Roman" w:hAnsi="Times New Roman" w:cs="Times New Roman"/>
                <w:b/>
                <w:bCs/>
                <w:lang w:val="uk-UA"/>
              </w:rPr>
              <w:t>Закон про ЄСВ</w:t>
            </w:r>
            <w:r w:rsidRPr="00B61EF1">
              <w:rPr>
                <w:rFonts w:ascii="Times New Roman" w:hAnsi="Times New Roman" w:cs="Times New Roman"/>
                <w:lang w:val="uk-UA"/>
              </w:rPr>
              <w:t>)</w:t>
            </w:r>
          </w:p>
        </w:tc>
      </w:tr>
      <w:tr w:rsidR="00B61EF1" w:rsidRPr="00B61EF1" w14:paraId="1F5A5A6F" w14:textId="77777777" w:rsidTr="00B61EF1">
        <w:tc>
          <w:tcPr>
            <w:tcW w:w="9630" w:type="dxa"/>
            <w:gridSpan w:val="3"/>
            <w:tcBorders>
              <w:top w:val="outset" w:sz="6" w:space="0" w:color="auto"/>
              <w:left w:val="outset" w:sz="6" w:space="0" w:color="auto"/>
              <w:bottom w:val="outset" w:sz="6" w:space="0" w:color="auto"/>
              <w:right w:val="outset" w:sz="6" w:space="0" w:color="auto"/>
            </w:tcBorders>
            <w:shd w:val="clear" w:color="auto" w:fill="F4EBED"/>
            <w:vAlign w:val="center"/>
            <w:hideMark/>
          </w:tcPr>
          <w:p w14:paraId="7F70A441" w14:textId="77777777" w:rsidR="00B61EF1" w:rsidRPr="00B61EF1" w:rsidRDefault="00B61EF1" w:rsidP="00B61EF1">
            <w:pPr>
              <w:rPr>
                <w:rFonts w:ascii="Times New Roman" w:hAnsi="Times New Roman" w:cs="Times New Roman"/>
                <w:lang w:val="uk-UA"/>
              </w:rPr>
            </w:pPr>
            <w:r w:rsidRPr="00B61EF1">
              <w:rPr>
                <w:rFonts w:ascii="Times New Roman" w:hAnsi="Times New Roman" w:cs="Times New Roman"/>
                <w:b/>
                <w:bCs/>
                <w:i/>
                <w:iCs/>
                <w:lang w:val="uk-UA"/>
              </w:rPr>
              <w:t>неподаткові, але їхнім адмініструванням займається ДПС</w:t>
            </w:r>
          </w:p>
        </w:tc>
      </w:tr>
      <w:tr w:rsidR="00B61EF1" w:rsidRPr="00B61EF1" w14:paraId="06D2AD3C" w14:textId="77777777" w:rsidTr="00B61EF1">
        <w:tc>
          <w:tcPr>
            <w:tcW w:w="166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84C21DF" w14:textId="77777777" w:rsidR="00B61EF1" w:rsidRPr="00B61EF1" w:rsidRDefault="00B61EF1" w:rsidP="00B61EF1">
            <w:pPr>
              <w:rPr>
                <w:rFonts w:ascii="Times New Roman" w:hAnsi="Times New Roman" w:cs="Times New Roman"/>
                <w:lang w:val="uk-UA"/>
              </w:rPr>
            </w:pPr>
            <w:r w:rsidRPr="00B61EF1">
              <w:rPr>
                <w:rFonts w:ascii="Times New Roman" w:hAnsi="Times New Roman" w:cs="Times New Roman"/>
                <w:lang w:val="uk-UA"/>
              </w:rPr>
              <w:t>«РРО-штрафи»</w:t>
            </w:r>
          </w:p>
        </w:tc>
        <w:tc>
          <w:tcPr>
            <w:tcW w:w="41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BBC6824" w14:textId="77777777" w:rsidR="00B61EF1" w:rsidRPr="00B61EF1" w:rsidRDefault="00B61EF1" w:rsidP="00B61EF1">
            <w:pPr>
              <w:rPr>
                <w:rFonts w:ascii="Times New Roman" w:hAnsi="Times New Roman" w:cs="Times New Roman"/>
                <w:lang w:val="uk-UA"/>
              </w:rPr>
            </w:pPr>
            <w:r w:rsidRPr="00B61EF1">
              <w:rPr>
                <w:rFonts w:ascii="Times New Roman" w:hAnsi="Times New Roman" w:cs="Times New Roman"/>
                <w:lang w:val="uk-UA"/>
              </w:rPr>
              <w:t>у сфері застосування касових апаратів, тобто реєстраторів розрахункових операцій (</w:t>
            </w:r>
            <w:hyperlink r:id="rId10" w:history="1">
              <w:r w:rsidRPr="00B61EF1">
                <w:rPr>
                  <w:rStyle w:val="ac"/>
                  <w:rFonts w:ascii="Times New Roman" w:hAnsi="Times New Roman" w:cs="Times New Roman"/>
                  <w:lang w:val="uk-UA"/>
                </w:rPr>
                <w:t>РРО</w:t>
              </w:r>
            </w:hyperlink>
            <w:r w:rsidRPr="00B61EF1">
              <w:rPr>
                <w:rFonts w:ascii="Times New Roman" w:hAnsi="Times New Roman" w:cs="Times New Roman"/>
                <w:lang w:val="uk-UA"/>
              </w:rPr>
              <w:t>) та програмних реєстраторів розрахункових операцій (</w:t>
            </w:r>
            <w:proofErr w:type="spellStart"/>
            <w:r w:rsidRPr="00B61EF1">
              <w:rPr>
                <w:rFonts w:ascii="Times New Roman" w:hAnsi="Times New Roman" w:cs="Times New Roman"/>
                <w:lang w:val="uk-UA"/>
              </w:rPr>
              <w:fldChar w:fldCharType="begin"/>
            </w:r>
            <w:r w:rsidRPr="00B61EF1">
              <w:rPr>
                <w:rFonts w:ascii="Times New Roman" w:hAnsi="Times New Roman" w:cs="Times New Roman"/>
                <w:lang w:val="uk-UA"/>
              </w:rPr>
              <w:instrText>HYPERLINK "https://buhplatforma.com.ua/article/8430-programn-rro-2020"</w:instrText>
            </w:r>
            <w:r w:rsidRPr="00B61EF1">
              <w:rPr>
                <w:rFonts w:ascii="Times New Roman" w:hAnsi="Times New Roman" w:cs="Times New Roman"/>
                <w:lang w:val="uk-UA"/>
              </w:rPr>
            </w:r>
            <w:r w:rsidRPr="00B61EF1">
              <w:rPr>
                <w:rFonts w:ascii="Times New Roman" w:hAnsi="Times New Roman" w:cs="Times New Roman"/>
                <w:lang w:val="uk-UA"/>
              </w:rPr>
              <w:fldChar w:fldCharType="separate"/>
            </w:r>
            <w:r w:rsidRPr="00B61EF1">
              <w:rPr>
                <w:rStyle w:val="ac"/>
                <w:rFonts w:ascii="Times New Roman" w:hAnsi="Times New Roman" w:cs="Times New Roman"/>
                <w:lang w:val="uk-UA"/>
              </w:rPr>
              <w:t>пРРО</w:t>
            </w:r>
            <w:proofErr w:type="spellEnd"/>
            <w:r w:rsidRPr="00B61EF1">
              <w:rPr>
                <w:rFonts w:ascii="Times New Roman" w:hAnsi="Times New Roman" w:cs="Times New Roman"/>
                <w:lang w:val="uk-UA"/>
              </w:rPr>
              <w:fldChar w:fldCharType="end"/>
            </w:r>
            <w:r w:rsidRPr="00B61EF1">
              <w:rPr>
                <w:rFonts w:ascii="Times New Roman" w:hAnsi="Times New Roman" w:cs="Times New Roman"/>
                <w:lang w:val="uk-UA"/>
              </w:rPr>
              <w:t>), наприклад:</w:t>
            </w:r>
          </w:p>
          <w:p w14:paraId="15F3F7C9" w14:textId="77777777" w:rsidR="00B61EF1" w:rsidRPr="00B61EF1" w:rsidRDefault="00B61EF1" w:rsidP="00B61EF1">
            <w:pPr>
              <w:numPr>
                <w:ilvl w:val="0"/>
                <w:numId w:val="2"/>
              </w:numPr>
              <w:rPr>
                <w:rFonts w:ascii="Times New Roman" w:hAnsi="Times New Roman" w:cs="Times New Roman"/>
                <w:lang w:val="uk-UA"/>
              </w:rPr>
            </w:pPr>
            <w:proofErr w:type="spellStart"/>
            <w:r w:rsidRPr="00B61EF1">
              <w:rPr>
                <w:rFonts w:ascii="Times New Roman" w:hAnsi="Times New Roman" w:cs="Times New Roman"/>
                <w:lang w:val="uk-UA"/>
              </w:rPr>
              <w:t>неведення</w:t>
            </w:r>
            <w:proofErr w:type="spellEnd"/>
            <w:r w:rsidRPr="00B61EF1">
              <w:rPr>
                <w:rFonts w:ascii="Times New Roman" w:hAnsi="Times New Roman" w:cs="Times New Roman"/>
                <w:lang w:val="uk-UA"/>
              </w:rPr>
              <w:t xml:space="preserve"> обліку товарних запасів;</w:t>
            </w:r>
          </w:p>
          <w:p w14:paraId="4B75912B" w14:textId="77777777" w:rsidR="00B61EF1" w:rsidRPr="00B61EF1" w:rsidRDefault="00B61EF1" w:rsidP="00B61EF1">
            <w:pPr>
              <w:numPr>
                <w:ilvl w:val="0"/>
                <w:numId w:val="2"/>
              </w:numPr>
              <w:rPr>
                <w:rFonts w:ascii="Times New Roman" w:hAnsi="Times New Roman" w:cs="Times New Roman"/>
                <w:lang w:val="uk-UA"/>
              </w:rPr>
            </w:pPr>
            <w:r w:rsidRPr="00B61EF1">
              <w:rPr>
                <w:rFonts w:ascii="Times New Roman" w:hAnsi="Times New Roman" w:cs="Times New Roman"/>
                <w:lang w:val="uk-UA"/>
              </w:rPr>
              <w:t>незастосування РРО/</w:t>
            </w:r>
            <w:proofErr w:type="spellStart"/>
            <w:r w:rsidRPr="00B61EF1">
              <w:rPr>
                <w:rFonts w:ascii="Times New Roman" w:hAnsi="Times New Roman" w:cs="Times New Roman"/>
                <w:lang w:val="uk-UA"/>
              </w:rPr>
              <w:t>пРРО</w:t>
            </w:r>
            <w:proofErr w:type="spellEnd"/>
          </w:p>
        </w:tc>
        <w:tc>
          <w:tcPr>
            <w:tcW w:w="37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84EEC78" w14:textId="77777777" w:rsidR="00B61EF1" w:rsidRPr="00B61EF1" w:rsidRDefault="00B61EF1" w:rsidP="00B61EF1">
            <w:pPr>
              <w:rPr>
                <w:rFonts w:ascii="Times New Roman" w:hAnsi="Times New Roman" w:cs="Times New Roman"/>
                <w:lang w:val="uk-UA"/>
              </w:rPr>
            </w:pPr>
            <w:hyperlink r:id="rId11" w:anchor="Text" w:tgtFrame="_blank" w:history="1">
              <w:r w:rsidRPr="00B61EF1">
                <w:rPr>
                  <w:rStyle w:val="ac"/>
                  <w:rFonts w:ascii="Times New Roman" w:hAnsi="Times New Roman" w:cs="Times New Roman"/>
                  <w:lang w:val="uk-UA"/>
                </w:rPr>
                <w:t>Закон України «Про застосування реєстраторів розрахункових операцій у сфері торгівлі, громадського харчування та послуг» від 06.07.1995 № 265</w:t>
              </w:r>
            </w:hyperlink>
            <w:r w:rsidRPr="00B61EF1">
              <w:rPr>
                <w:rFonts w:ascii="Times New Roman" w:hAnsi="Times New Roman" w:cs="Times New Roman"/>
                <w:lang w:val="uk-UA"/>
              </w:rPr>
              <w:t> (</w:t>
            </w:r>
            <w:r w:rsidRPr="00B61EF1">
              <w:rPr>
                <w:rFonts w:ascii="Times New Roman" w:hAnsi="Times New Roman" w:cs="Times New Roman"/>
                <w:i/>
                <w:iCs/>
                <w:lang w:val="uk-UA"/>
              </w:rPr>
              <w:t>далі</w:t>
            </w:r>
            <w:r w:rsidRPr="00B61EF1">
              <w:rPr>
                <w:rFonts w:ascii="Times New Roman" w:hAnsi="Times New Roman" w:cs="Times New Roman"/>
                <w:lang w:val="uk-UA"/>
              </w:rPr>
              <w:t> — </w:t>
            </w:r>
            <w:r w:rsidRPr="00B61EF1">
              <w:rPr>
                <w:rFonts w:ascii="Times New Roman" w:hAnsi="Times New Roman" w:cs="Times New Roman"/>
                <w:b/>
                <w:bCs/>
                <w:lang w:val="uk-UA"/>
              </w:rPr>
              <w:t>Закон про РРО</w:t>
            </w:r>
            <w:r w:rsidRPr="00B61EF1">
              <w:rPr>
                <w:rFonts w:ascii="Times New Roman" w:hAnsi="Times New Roman" w:cs="Times New Roman"/>
                <w:lang w:val="uk-UA"/>
              </w:rPr>
              <w:t>) (штрафи та інша відповідальність — статті 17–24 Закону про РРО)</w:t>
            </w:r>
          </w:p>
        </w:tc>
      </w:tr>
      <w:tr w:rsidR="00B61EF1" w:rsidRPr="00B61EF1" w14:paraId="2078774B" w14:textId="77777777" w:rsidTr="00B61EF1">
        <w:tc>
          <w:tcPr>
            <w:tcW w:w="166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B4C912A" w14:textId="77777777" w:rsidR="00B61EF1" w:rsidRPr="00B61EF1" w:rsidRDefault="00B61EF1" w:rsidP="00B61EF1">
            <w:pPr>
              <w:rPr>
                <w:rFonts w:ascii="Times New Roman" w:hAnsi="Times New Roman" w:cs="Times New Roman"/>
                <w:lang w:val="uk-UA"/>
              </w:rPr>
            </w:pPr>
            <w:r w:rsidRPr="00B61EF1">
              <w:rPr>
                <w:rFonts w:ascii="Times New Roman" w:hAnsi="Times New Roman" w:cs="Times New Roman"/>
                <w:lang w:val="uk-UA"/>
              </w:rPr>
              <w:t>«ліцензійні»</w:t>
            </w:r>
          </w:p>
        </w:tc>
        <w:tc>
          <w:tcPr>
            <w:tcW w:w="41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369E535" w14:textId="77777777" w:rsidR="00B61EF1" w:rsidRPr="00B61EF1" w:rsidRDefault="00B61EF1" w:rsidP="00B61EF1">
            <w:pPr>
              <w:rPr>
                <w:rFonts w:ascii="Times New Roman" w:hAnsi="Times New Roman" w:cs="Times New Roman"/>
                <w:lang w:val="uk-UA"/>
              </w:rPr>
            </w:pPr>
            <w:r w:rsidRPr="00B61EF1">
              <w:rPr>
                <w:rFonts w:ascii="Times New Roman" w:hAnsi="Times New Roman" w:cs="Times New Roman"/>
                <w:lang w:val="uk-UA"/>
              </w:rPr>
              <w:t>ліцензійних правил обігу таких підакцизних товарів, як спирту етиловий, спиртові дистиляти, біоетанол, алкоголь, тютюн та його замінники, паливо, наприклад:</w:t>
            </w:r>
          </w:p>
          <w:p w14:paraId="308AD9C7" w14:textId="77777777" w:rsidR="00B61EF1" w:rsidRPr="00B61EF1" w:rsidRDefault="00B61EF1" w:rsidP="00B61EF1">
            <w:pPr>
              <w:numPr>
                <w:ilvl w:val="0"/>
                <w:numId w:val="3"/>
              </w:numPr>
              <w:rPr>
                <w:rFonts w:ascii="Times New Roman" w:hAnsi="Times New Roman" w:cs="Times New Roman"/>
                <w:lang w:val="uk-UA"/>
              </w:rPr>
            </w:pPr>
            <w:r w:rsidRPr="00B61EF1">
              <w:rPr>
                <w:rFonts w:ascii="Times New Roman" w:hAnsi="Times New Roman" w:cs="Times New Roman"/>
                <w:lang w:val="uk-UA"/>
              </w:rPr>
              <w:t>виробництво або торгівля без відповідної ліцензії;</w:t>
            </w:r>
          </w:p>
          <w:p w14:paraId="59D1719F" w14:textId="77777777" w:rsidR="00B61EF1" w:rsidRPr="00B61EF1" w:rsidRDefault="00B61EF1" w:rsidP="00B61EF1">
            <w:pPr>
              <w:numPr>
                <w:ilvl w:val="0"/>
                <w:numId w:val="3"/>
              </w:numPr>
              <w:rPr>
                <w:rFonts w:ascii="Times New Roman" w:hAnsi="Times New Roman" w:cs="Times New Roman"/>
                <w:lang w:val="uk-UA"/>
              </w:rPr>
            </w:pPr>
            <w:r w:rsidRPr="00B61EF1">
              <w:rPr>
                <w:rFonts w:ascii="Times New Roman" w:hAnsi="Times New Roman" w:cs="Times New Roman"/>
                <w:lang w:val="uk-UA"/>
              </w:rPr>
              <w:t>зберігання пального для потреба власного споживання без ліцензії</w:t>
            </w:r>
          </w:p>
          <w:p w14:paraId="5300C1CB" w14:textId="77777777" w:rsidR="00B61EF1" w:rsidRPr="00B61EF1" w:rsidRDefault="00B61EF1" w:rsidP="00B61EF1">
            <w:pPr>
              <w:rPr>
                <w:rFonts w:ascii="Times New Roman" w:hAnsi="Times New Roman" w:cs="Times New Roman"/>
                <w:lang w:val="uk-UA"/>
              </w:rPr>
            </w:pPr>
          </w:p>
        </w:tc>
        <w:tc>
          <w:tcPr>
            <w:tcW w:w="37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F176B33" w14:textId="77777777" w:rsidR="00B61EF1" w:rsidRPr="00B61EF1" w:rsidRDefault="00B61EF1" w:rsidP="00B61EF1">
            <w:pPr>
              <w:rPr>
                <w:rFonts w:ascii="Times New Roman" w:hAnsi="Times New Roman" w:cs="Times New Roman"/>
                <w:lang w:val="uk-UA"/>
              </w:rPr>
            </w:pPr>
            <w:hyperlink r:id="rId12" w:anchor="Text" w:tgtFrame="_blank" w:history="1">
              <w:r w:rsidRPr="00B61EF1">
                <w:rPr>
                  <w:rStyle w:val="ac"/>
                  <w:rFonts w:ascii="Times New Roman" w:hAnsi="Times New Roman" w:cs="Times New Roman"/>
                  <w:lang w:val="uk-UA"/>
                </w:rPr>
                <w:t>Закон України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 від 18.06.2024 № 3817</w:t>
              </w:r>
            </w:hyperlink>
            <w:r w:rsidRPr="00B61EF1">
              <w:rPr>
                <w:rFonts w:ascii="Times New Roman" w:hAnsi="Times New Roman" w:cs="Times New Roman"/>
                <w:lang w:val="uk-UA"/>
              </w:rPr>
              <w:t> (</w:t>
            </w:r>
            <w:r w:rsidRPr="00B61EF1">
              <w:rPr>
                <w:rFonts w:ascii="Times New Roman" w:hAnsi="Times New Roman" w:cs="Times New Roman"/>
                <w:i/>
                <w:iCs/>
                <w:lang w:val="uk-UA"/>
              </w:rPr>
              <w:t>далі</w:t>
            </w:r>
            <w:r w:rsidRPr="00B61EF1">
              <w:rPr>
                <w:rFonts w:ascii="Times New Roman" w:hAnsi="Times New Roman" w:cs="Times New Roman"/>
                <w:lang w:val="uk-UA"/>
              </w:rPr>
              <w:t> — </w:t>
            </w:r>
            <w:r w:rsidRPr="00B61EF1">
              <w:rPr>
                <w:rFonts w:ascii="Times New Roman" w:hAnsi="Times New Roman" w:cs="Times New Roman"/>
                <w:b/>
                <w:bCs/>
                <w:lang w:val="uk-UA"/>
              </w:rPr>
              <w:t>Закон № 3817</w:t>
            </w:r>
            <w:r w:rsidRPr="00B61EF1">
              <w:rPr>
                <w:rFonts w:ascii="Times New Roman" w:hAnsi="Times New Roman" w:cs="Times New Roman"/>
                <w:lang w:val="uk-UA"/>
              </w:rPr>
              <w:t>) (штрафи та інша відповідальність — ст. 73 Закону № 3817)</w:t>
            </w:r>
          </w:p>
        </w:tc>
      </w:tr>
      <w:tr w:rsidR="00B61EF1" w:rsidRPr="00B61EF1" w14:paraId="304C701D" w14:textId="77777777" w:rsidTr="00B61EF1">
        <w:tc>
          <w:tcPr>
            <w:tcW w:w="166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8854413" w14:textId="77777777" w:rsidR="00B61EF1" w:rsidRPr="00B61EF1" w:rsidRDefault="00B61EF1" w:rsidP="00B61EF1">
            <w:pPr>
              <w:rPr>
                <w:rFonts w:ascii="Times New Roman" w:hAnsi="Times New Roman" w:cs="Times New Roman"/>
                <w:lang w:val="uk-UA"/>
              </w:rPr>
            </w:pPr>
            <w:r w:rsidRPr="00B61EF1">
              <w:rPr>
                <w:rFonts w:ascii="Times New Roman" w:hAnsi="Times New Roman" w:cs="Times New Roman"/>
                <w:lang w:val="uk-UA"/>
              </w:rPr>
              <w:t>адміністративні правопорушення у податковій сфері</w:t>
            </w:r>
          </w:p>
        </w:tc>
        <w:tc>
          <w:tcPr>
            <w:tcW w:w="41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B915FD9" w14:textId="77777777" w:rsidR="00B61EF1" w:rsidRPr="00B61EF1" w:rsidRDefault="00B61EF1" w:rsidP="00B61EF1">
            <w:pPr>
              <w:rPr>
                <w:rFonts w:ascii="Times New Roman" w:hAnsi="Times New Roman" w:cs="Times New Roman"/>
                <w:lang w:val="uk-UA"/>
              </w:rPr>
            </w:pPr>
            <w:r w:rsidRPr="00B61EF1">
              <w:rPr>
                <w:rFonts w:ascii="Times New Roman" w:hAnsi="Times New Roman" w:cs="Times New Roman"/>
                <w:lang w:val="uk-UA"/>
              </w:rPr>
              <w:t>відсутність податкового обліку та ведення його з порушеннями тощо*</w:t>
            </w:r>
          </w:p>
        </w:tc>
        <w:tc>
          <w:tcPr>
            <w:tcW w:w="37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316E498" w14:textId="77777777" w:rsidR="00B61EF1" w:rsidRPr="00B61EF1" w:rsidRDefault="00B61EF1" w:rsidP="00B61EF1">
            <w:pPr>
              <w:rPr>
                <w:rFonts w:ascii="Times New Roman" w:hAnsi="Times New Roman" w:cs="Times New Roman"/>
                <w:lang w:val="uk-UA"/>
              </w:rPr>
            </w:pPr>
            <w:hyperlink r:id="rId13" w:anchor="Text" w:tgtFrame="_blank" w:history="1">
              <w:r w:rsidRPr="00B61EF1">
                <w:rPr>
                  <w:rStyle w:val="ac"/>
                  <w:rFonts w:ascii="Times New Roman" w:hAnsi="Times New Roman" w:cs="Times New Roman"/>
                  <w:lang w:val="uk-UA"/>
                </w:rPr>
                <w:t>Кодекс України про адміністративні правопорушення</w:t>
              </w:r>
            </w:hyperlink>
            <w:r w:rsidRPr="00B61EF1">
              <w:rPr>
                <w:rFonts w:ascii="Times New Roman" w:hAnsi="Times New Roman" w:cs="Times New Roman"/>
                <w:lang w:val="uk-UA"/>
              </w:rPr>
              <w:t> (</w:t>
            </w:r>
            <w:r w:rsidRPr="00B61EF1">
              <w:rPr>
                <w:rFonts w:ascii="Times New Roman" w:hAnsi="Times New Roman" w:cs="Times New Roman"/>
                <w:i/>
                <w:iCs/>
                <w:lang w:val="uk-UA"/>
              </w:rPr>
              <w:t>далі</w:t>
            </w:r>
            <w:r w:rsidRPr="00B61EF1">
              <w:rPr>
                <w:rFonts w:ascii="Times New Roman" w:hAnsi="Times New Roman" w:cs="Times New Roman"/>
                <w:lang w:val="uk-UA"/>
              </w:rPr>
              <w:t> — </w:t>
            </w:r>
            <w:r w:rsidRPr="00B61EF1">
              <w:rPr>
                <w:rFonts w:ascii="Times New Roman" w:hAnsi="Times New Roman" w:cs="Times New Roman"/>
                <w:b/>
                <w:bCs/>
                <w:lang w:val="uk-UA"/>
              </w:rPr>
              <w:t>КпАП</w:t>
            </w:r>
            <w:r w:rsidRPr="00B61EF1">
              <w:rPr>
                <w:rFonts w:ascii="Times New Roman" w:hAnsi="Times New Roman" w:cs="Times New Roman"/>
                <w:lang w:val="uk-UA"/>
              </w:rPr>
              <w:t>)</w:t>
            </w:r>
          </w:p>
        </w:tc>
      </w:tr>
      <w:tr w:rsidR="00B61EF1" w:rsidRPr="00B61EF1" w14:paraId="67523BDE" w14:textId="77777777" w:rsidTr="00B61EF1">
        <w:tc>
          <w:tcPr>
            <w:tcW w:w="9630" w:type="dxa"/>
            <w:gridSpan w:val="3"/>
            <w:tcBorders>
              <w:top w:val="outset" w:sz="6" w:space="0" w:color="auto"/>
              <w:left w:val="outset" w:sz="6" w:space="0" w:color="auto"/>
              <w:bottom w:val="outset" w:sz="6" w:space="0" w:color="auto"/>
              <w:right w:val="outset" w:sz="6" w:space="0" w:color="auto"/>
            </w:tcBorders>
            <w:shd w:val="clear" w:color="auto" w:fill="F4EBED"/>
            <w:vAlign w:val="center"/>
            <w:hideMark/>
          </w:tcPr>
          <w:p w14:paraId="7F75DAA7" w14:textId="77777777" w:rsidR="00B61EF1" w:rsidRPr="00B61EF1" w:rsidRDefault="00B61EF1" w:rsidP="00B61EF1">
            <w:pPr>
              <w:rPr>
                <w:rFonts w:ascii="Times New Roman" w:hAnsi="Times New Roman" w:cs="Times New Roman"/>
                <w:lang w:val="uk-UA"/>
              </w:rPr>
            </w:pPr>
            <w:r w:rsidRPr="00B61EF1">
              <w:rPr>
                <w:rFonts w:ascii="Times New Roman" w:hAnsi="Times New Roman" w:cs="Times New Roman"/>
                <w:b/>
                <w:bCs/>
                <w:i/>
                <w:iCs/>
                <w:lang w:val="uk-UA"/>
              </w:rPr>
              <w:t>інші штрафи, адмініструванням яких займаються також інші держоргани (</w:t>
            </w:r>
            <w:proofErr w:type="spellStart"/>
            <w:r w:rsidRPr="00B61EF1">
              <w:rPr>
                <w:rFonts w:ascii="Times New Roman" w:hAnsi="Times New Roman" w:cs="Times New Roman"/>
                <w:b/>
                <w:bCs/>
                <w:i/>
                <w:iCs/>
                <w:lang w:val="uk-UA"/>
              </w:rPr>
              <w:t>Держпраці</w:t>
            </w:r>
            <w:proofErr w:type="spellEnd"/>
            <w:r w:rsidRPr="00B61EF1">
              <w:rPr>
                <w:rFonts w:ascii="Times New Roman" w:hAnsi="Times New Roman" w:cs="Times New Roman"/>
                <w:b/>
                <w:bCs/>
                <w:i/>
                <w:iCs/>
                <w:lang w:val="uk-UA"/>
              </w:rPr>
              <w:t>, Держстат)</w:t>
            </w:r>
          </w:p>
        </w:tc>
      </w:tr>
      <w:tr w:rsidR="00B61EF1" w:rsidRPr="00B61EF1" w14:paraId="548F0F1B" w14:textId="77777777" w:rsidTr="00B61EF1">
        <w:tc>
          <w:tcPr>
            <w:tcW w:w="166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8CF8F96" w14:textId="77777777" w:rsidR="00B61EF1" w:rsidRPr="00B61EF1" w:rsidRDefault="00B61EF1" w:rsidP="00B61EF1">
            <w:pPr>
              <w:rPr>
                <w:rFonts w:ascii="Times New Roman" w:hAnsi="Times New Roman" w:cs="Times New Roman"/>
                <w:lang w:val="uk-UA"/>
              </w:rPr>
            </w:pPr>
            <w:r w:rsidRPr="00B61EF1">
              <w:rPr>
                <w:rFonts w:ascii="Times New Roman" w:hAnsi="Times New Roman" w:cs="Times New Roman"/>
                <w:lang w:val="uk-UA"/>
              </w:rPr>
              <w:t>«трудові»</w:t>
            </w:r>
          </w:p>
        </w:tc>
        <w:tc>
          <w:tcPr>
            <w:tcW w:w="41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DC44276" w14:textId="77777777" w:rsidR="00B61EF1" w:rsidRPr="00B61EF1" w:rsidRDefault="00B61EF1" w:rsidP="00B61EF1">
            <w:pPr>
              <w:rPr>
                <w:rFonts w:ascii="Times New Roman" w:hAnsi="Times New Roman" w:cs="Times New Roman"/>
                <w:lang w:val="uk-UA"/>
              </w:rPr>
            </w:pPr>
            <w:r w:rsidRPr="00B61EF1">
              <w:rPr>
                <w:rFonts w:ascii="Times New Roman" w:hAnsi="Times New Roman" w:cs="Times New Roman"/>
                <w:lang w:val="uk-UA"/>
              </w:rPr>
              <w:t>правил працевлаштування працівників і виплати зарплати, наприклад:</w:t>
            </w:r>
          </w:p>
          <w:p w14:paraId="5D3681F5" w14:textId="77777777" w:rsidR="00B61EF1" w:rsidRPr="00B61EF1" w:rsidRDefault="00B61EF1" w:rsidP="00B61EF1">
            <w:pPr>
              <w:numPr>
                <w:ilvl w:val="0"/>
                <w:numId w:val="4"/>
              </w:numPr>
              <w:rPr>
                <w:rFonts w:ascii="Times New Roman" w:hAnsi="Times New Roman" w:cs="Times New Roman"/>
                <w:lang w:val="uk-UA"/>
              </w:rPr>
            </w:pPr>
            <w:r w:rsidRPr="00B61EF1">
              <w:rPr>
                <w:rFonts w:ascii="Times New Roman" w:hAnsi="Times New Roman" w:cs="Times New Roman"/>
                <w:lang w:val="uk-UA"/>
              </w:rPr>
              <w:t>невчасна виплата зарплата;</w:t>
            </w:r>
          </w:p>
          <w:p w14:paraId="0F246CB9" w14:textId="77777777" w:rsidR="00B61EF1" w:rsidRPr="00B61EF1" w:rsidRDefault="00B61EF1" w:rsidP="00B61EF1">
            <w:pPr>
              <w:numPr>
                <w:ilvl w:val="0"/>
                <w:numId w:val="4"/>
              </w:numPr>
              <w:rPr>
                <w:rFonts w:ascii="Times New Roman" w:hAnsi="Times New Roman" w:cs="Times New Roman"/>
                <w:lang w:val="uk-UA"/>
              </w:rPr>
            </w:pPr>
            <w:hyperlink r:id="rId14" w:tgtFrame="_blank" w:history="1">
              <w:proofErr w:type="spellStart"/>
              <w:r w:rsidRPr="00B61EF1">
                <w:rPr>
                  <w:rStyle w:val="ac"/>
                  <w:rFonts w:ascii="Times New Roman" w:hAnsi="Times New Roman" w:cs="Times New Roman"/>
                  <w:lang w:val="uk-UA"/>
                </w:rPr>
                <w:t>неоформлення</w:t>
              </w:r>
              <w:proofErr w:type="spellEnd"/>
              <w:r w:rsidRPr="00B61EF1">
                <w:rPr>
                  <w:rStyle w:val="ac"/>
                  <w:rFonts w:ascii="Times New Roman" w:hAnsi="Times New Roman" w:cs="Times New Roman"/>
                  <w:lang w:val="uk-UA"/>
                </w:rPr>
                <w:t xml:space="preserve"> трудових відносин з працівником</w:t>
              </w:r>
            </w:hyperlink>
          </w:p>
        </w:tc>
        <w:tc>
          <w:tcPr>
            <w:tcW w:w="37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36BAB16" w14:textId="77777777" w:rsidR="00B61EF1" w:rsidRPr="00B61EF1" w:rsidRDefault="00B61EF1" w:rsidP="00B61EF1">
            <w:pPr>
              <w:rPr>
                <w:rFonts w:ascii="Times New Roman" w:hAnsi="Times New Roman" w:cs="Times New Roman"/>
                <w:lang w:val="uk-UA"/>
              </w:rPr>
            </w:pPr>
            <w:hyperlink r:id="rId15" w:anchor="Text" w:tgtFrame="_blank" w:history="1">
              <w:r w:rsidRPr="00B61EF1">
                <w:rPr>
                  <w:rStyle w:val="ac"/>
                  <w:rFonts w:ascii="Times New Roman" w:hAnsi="Times New Roman" w:cs="Times New Roman"/>
                  <w:lang w:val="uk-UA"/>
                </w:rPr>
                <w:t>Кодекс законів про працю</w:t>
              </w:r>
            </w:hyperlink>
            <w:r w:rsidRPr="00B61EF1">
              <w:rPr>
                <w:rFonts w:ascii="Times New Roman" w:hAnsi="Times New Roman" w:cs="Times New Roman"/>
                <w:lang w:val="uk-UA"/>
              </w:rPr>
              <w:t> (</w:t>
            </w:r>
            <w:r w:rsidRPr="00B61EF1">
              <w:rPr>
                <w:rFonts w:ascii="Times New Roman" w:hAnsi="Times New Roman" w:cs="Times New Roman"/>
                <w:i/>
                <w:iCs/>
                <w:lang w:val="uk-UA"/>
              </w:rPr>
              <w:t>далі </w:t>
            </w:r>
            <w:r w:rsidRPr="00B61EF1">
              <w:rPr>
                <w:rFonts w:ascii="Times New Roman" w:hAnsi="Times New Roman" w:cs="Times New Roman"/>
                <w:lang w:val="uk-UA"/>
              </w:rPr>
              <w:t>— </w:t>
            </w:r>
            <w:r w:rsidRPr="00B61EF1">
              <w:rPr>
                <w:rFonts w:ascii="Times New Roman" w:hAnsi="Times New Roman" w:cs="Times New Roman"/>
                <w:b/>
                <w:bCs/>
                <w:lang w:val="uk-UA"/>
              </w:rPr>
              <w:t>КЗпП</w:t>
            </w:r>
            <w:r w:rsidRPr="00B61EF1">
              <w:rPr>
                <w:rFonts w:ascii="Times New Roman" w:hAnsi="Times New Roman" w:cs="Times New Roman"/>
                <w:lang w:val="uk-UA"/>
              </w:rPr>
              <w:t>) (штрафи та інша відповідальність — ст. 265 КЗпП)</w:t>
            </w:r>
          </w:p>
        </w:tc>
      </w:tr>
      <w:tr w:rsidR="00B61EF1" w:rsidRPr="00B61EF1" w14:paraId="3AA20006" w14:textId="77777777" w:rsidTr="00B61EF1">
        <w:tc>
          <w:tcPr>
            <w:tcW w:w="166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F436DC8" w14:textId="77777777" w:rsidR="00B61EF1" w:rsidRPr="00B61EF1" w:rsidRDefault="00B61EF1" w:rsidP="00B61EF1">
            <w:pPr>
              <w:rPr>
                <w:rFonts w:ascii="Times New Roman" w:hAnsi="Times New Roman" w:cs="Times New Roman"/>
                <w:lang w:val="uk-UA"/>
              </w:rPr>
            </w:pPr>
            <w:r w:rsidRPr="00B61EF1">
              <w:rPr>
                <w:rFonts w:ascii="Times New Roman" w:hAnsi="Times New Roman" w:cs="Times New Roman"/>
                <w:lang w:val="uk-UA"/>
              </w:rPr>
              <w:lastRenderedPageBreak/>
              <w:t>«статистичні»</w:t>
            </w:r>
          </w:p>
        </w:tc>
        <w:tc>
          <w:tcPr>
            <w:tcW w:w="41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8D74582" w14:textId="77777777" w:rsidR="00B61EF1" w:rsidRPr="00B61EF1" w:rsidRDefault="00B61EF1" w:rsidP="00B61EF1">
            <w:pPr>
              <w:rPr>
                <w:rFonts w:ascii="Times New Roman" w:hAnsi="Times New Roman" w:cs="Times New Roman"/>
                <w:lang w:val="uk-UA"/>
              </w:rPr>
            </w:pPr>
            <w:r w:rsidRPr="00B61EF1">
              <w:rPr>
                <w:rFonts w:ascii="Times New Roman" w:hAnsi="Times New Roman" w:cs="Times New Roman"/>
                <w:lang w:val="uk-UA"/>
              </w:rPr>
              <w:t>правил формування і строків подання статистичної звітності, якщо її треба було подати ФОП**</w:t>
            </w:r>
          </w:p>
        </w:tc>
        <w:tc>
          <w:tcPr>
            <w:tcW w:w="37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5925A60" w14:textId="77777777" w:rsidR="00B61EF1" w:rsidRPr="00B61EF1" w:rsidRDefault="00B61EF1" w:rsidP="00B61EF1">
            <w:pPr>
              <w:rPr>
                <w:rFonts w:ascii="Times New Roman" w:hAnsi="Times New Roman" w:cs="Times New Roman"/>
                <w:lang w:val="uk-UA"/>
              </w:rPr>
            </w:pPr>
            <w:r w:rsidRPr="00B61EF1">
              <w:rPr>
                <w:rFonts w:ascii="Times New Roman" w:hAnsi="Times New Roman" w:cs="Times New Roman"/>
                <w:lang w:val="uk-UA"/>
              </w:rPr>
              <w:t>ст. 186</w:t>
            </w:r>
            <w:r w:rsidRPr="00B61EF1">
              <w:rPr>
                <w:rFonts w:ascii="Times New Roman" w:hAnsi="Times New Roman" w:cs="Times New Roman"/>
                <w:vertAlign w:val="superscript"/>
                <w:lang w:val="uk-UA"/>
              </w:rPr>
              <w:t>3</w:t>
            </w:r>
            <w:r w:rsidRPr="00B61EF1">
              <w:rPr>
                <w:rFonts w:ascii="Times New Roman" w:hAnsi="Times New Roman" w:cs="Times New Roman"/>
                <w:lang w:val="uk-UA"/>
              </w:rPr>
              <w:t> КпАП</w:t>
            </w:r>
          </w:p>
        </w:tc>
      </w:tr>
      <w:tr w:rsidR="00B61EF1" w:rsidRPr="00B61EF1" w14:paraId="4C873C03" w14:textId="77777777" w:rsidTr="00B61EF1">
        <w:tc>
          <w:tcPr>
            <w:tcW w:w="963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73E7B646" w14:textId="77777777" w:rsidR="00B61EF1" w:rsidRPr="00B61EF1" w:rsidRDefault="00B61EF1" w:rsidP="00B61EF1">
            <w:pPr>
              <w:rPr>
                <w:rFonts w:ascii="Times New Roman" w:hAnsi="Times New Roman" w:cs="Times New Roman"/>
                <w:lang w:val="uk-UA"/>
              </w:rPr>
            </w:pPr>
            <w:r w:rsidRPr="00B61EF1">
              <w:rPr>
                <w:rFonts w:ascii="Times New Roman" w:hAnsi="Times New Roman" w:cs="Times New Roman"/>
                <w:lang w:val="uk-UA"/>
              </w:rPr>
              <w:t>* штраф складає від 85 до 170 грн (170 до 255 грн — повторне порушення впродовж року) (</w:t>
            </w:r>
            <w:hyperlink r:id="rId16" w:anchor="n2038" w:tgtFrame="_blank" w:history="1">
              <w:r w:rsidRPr="00B61EF1">
                <w:rPr>
                  <w:rStyle w:val="ac"/>
                  <w:rFonts w:ascii="Times New Roman" w:hAnsi="Times New Roman" w:cs="Times New Roman"/>
                  <w:lang w:val="uk-UA"/>
                </w:rPr>
                <w:t>ст. 163</w:t>
              </w:r>
              <w:r w:rsidRPr="00B61EF1">
                <w:rPr>
                  <w:rStyle w:val="ac"/>
                  <w:rFonts w:ascii="Times New Roman" w:hAnsi="Times New Roman" w:cs="Times New Roman"/>
                  <w:vertAlign w:val="superscript"/>
                  <w:lang w:val="uk-UA"/>
                </w:rPr>
                <w:t>1</w:t>
              </w:r>
              <w:r w:rsidRPr="00B61EF1">
                <w:rPr>
                  <w:rStyle w:val="ac"/>
                  <w:rFonts w:ascii="Times New Roman" w:hAnsi="Times New Roman" w:cs="Times New Roman"/>
                  <w:lang w:val="uk-UA"/>
                </w:rPr>
                <w:t> КпАП</w:t>
              </w:r>
            </w:hyperlink>
            <w:r w:rsidRPr="00B61EF1">
              <w:rPr>
                <w:rFonts w:ascii="Times New Roman" w:hAnsi="Times New Roman" w:cs="Times New Roman"/>
                <w:lang w:val="uk-UA"/>
              </w:rPr>
              <w:t>);</w:t>
            </w:r>
          </w:p>
          <w:p w14:paraId="1B48A24E" w14:textId="77777777" w:rsidR="00B61EF1" w:rsidRPr="00B61EF1" w:rsidRDefault="00B61EF1" w:rsidP="00B61EF1">
            <w:pPr>
              <w:rPr>
                <w:rFonts w:ascii="Times New Roman" w:hAnsi="Times New Roman" w:cs="Times New Roman"/>
                <w:lang w:val="uk-UA"/>
              </w:rPr>
            </w:pPr>
            <w:r w:rsidRPr="00B61EF1">
              <w:rPr>
                <w:rFonts w:ascii="Times New Roman" w:hAnsi="Times New Roman" w:cs="Times New Roman"/>
                <w:lang w:val="uk-UA"/>
              </w:rPr>
              <w:t xml:space="preserve">** здебільшого ФОП статистичну звітність не подають і більшість її форм стосується </w:t>
            </w:r>
            <w:proofErr w:type="spellStart"/>
            <w:r w:rsidRPr="00B61EF1">
              <w:rPr>
                <w:rFonts w:ascii="Times New Roman" w:hAnsi="Times New Roman" w:cs="Times New Roman"/>
                <w:lang w:val="uk-UA"/>
              </w:rPr>
              <w:t>юросіб</w:t>
            </w:r>
            <w:proofErr w:type="spellEnd"/>
            <w:r w:rsidRPr="00B61EF1">
              <w:rPr>
                <w:rFonts w:ascii="Times New Roman" w:hAnsi="Times New Roman" w:cs="Times New Roman"/>
                <w:lang w:val="uk-UA"/>
              </w:rPr>
              <w:t>. Держстат щороку змінює табель статистичних спостережень та вимоги щодо форм, тому ФОП можуть там з’явитися. Однак, якщо таке порушення сталося, то штраф складає від 170 до 255 грн (255 до 425 грн — повторне порушення впродовж року) (ст. 186</w:t>
            </w:r>
            <w:r w:rsidRPr="00B61EF1">
              <w:rPr>
                <w:rFonts w:ascii="Times New Roman" w:hAnsi="Times New Roman" w:cs="Times New Roman"/>
                <w:vertAlign w:val="superscript"/>
                <w:lang w:val="uk-UA"/>
              </w:rPr>
              <w:t>3</w:t>
            </w:r>
            <w:r w:rsidRPr="00B61EF1">
              <w:rPr>
                <w:rFonts w:ascii="Times New Roman" w:hAnsi="Times New Roman" w:cs="Times New Roman"/>
                <w:lang w:val="uk-UA"/>
              </w:rPr>
              <w:t> КпАП). Про необхідність подання статистичних звітів та їхній перелік ФОП можуть ознайомитись в електронному сервісі статистичної служби «Кабінет респондента»</w:t>
            </w:r>
          </w:p>
        </w:tc>
      </w:tr>
    </w:tbl>
    <w:p w14:paraId="7E8E8EE9" w14:textId="77777777" w:rsidR="0040328E" w:rsidRPr="00B61EF1" w:rsidRDefault="0040328E">
      <w:pPr>
        <w:rPr>
          <w:rFonts w:ascii="Times New Roman" w:hAnsi="Times New Roman" w:cs="Times New Roman"/>
          <w:lang w:val="uk-UA"/>
        </w:rPr>
      </w:pPr>
    </w:p>
    <w:sectPr w:rsidR="0040328E" w:rsidRPr="00B61EF1">
      <w:head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8603E" w14:textId="77777777" w:rsidR="00FE531C" w:rsidRDefault="00FE531C" w:rsidP="00B61EF1">
      <w:pPr>
        <w:spacing w:after="0" w:line="240" w:lineRule="auto"/>
      </w:pPr>
      <w:r>
        <w:separator/>
      </w:r>
    </w:p>
  </w:endnote>
  <w:endnote w:type="continuationSeparator" w:id="0">
    <w:p w14:paraId="5BEAE488" w14:textId="77777777" w:rsidR="00FE531C" w:rsidRDefault="00FE531C" w:rsidP="00B61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AADB9" w14:textId="77777777" w:rsidR="00FE531C" w:rsidRDefault="00FE531C" w:rsidP="00B61EF1">
      <w:pPr>
        <w:spacing w:after="0" w:line="240" w:lineRule="auto"/>
      </w:pPr>
      <w:r>
        <w:separator/>
      </w:r>
    </w:p>
  </w:footnote>
  <w:footnote w:type="continuationSeparator" w:id="0">
    <w:p w14:paraId="0BAF11E7" w14:textId="77777777" w:rsidR="00FE531C" w:rsidRDefault="00FE531C" w:rsidP="00B61E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8064A" w14:textId="7DACBC66" w:rsidR="00B61EF1" w:rsidRPr="00B61EF1" w:rsidRDefault="00B61EF1" w:rsidP="00B61EF1">
    <w:pPr>
      <w:pStyle w:val="ae"/>
      <w:rPr>
        <w:lang w:val="ru-UA"/>
      </w:rPr>
    </w:pPr>
    <w:r w:rsidRPr="00B61EF1">
      <w:rPr>
        <w:lang w:val="ru-UA"/>
      </w:rPr>
      <w:drawing>
        <wp:inline distT="0" distB="0" distL="0" distR="0" wp14:anchorId="3952EFD8" wp14:editId="6B556D74">
          <wp:extent cx="990600" cy="407247"/>
          <wp:effectExtent l="0" t="0" r="0" b="0"/>
          <wp:docPr id="60977493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4764" cy="408959"/>
                  </a:xfrm>
                  <a:prstGeom prst="rect">
                    <a:avLst/>
                  </a:prstGeom>
                  <a:noFill/>
                  <a:ln>
                    <a:noFill/>
                  </a:ln>
                </pic:spPr>
              </pic:pic>
            </a:graphicData>
          </a:graphic>
        </wp:inline>
      </w:drawing>
    </w:r>
  </w:p>
  <w:p w14:paraId="624AC1EB" w14:textId="77777777" w:rsidR="00B61EF1" w:rsidRDefault="00B61EF1">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172A8E"/>
    <w:multiLevelType w:val="multilevel"/>
    <w:tmpl w:val="AAF88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1E00CF"/>
    <w:multiLevelType w:val="multilevel"/>
    <w:tmpl w:val="6D34C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A50AE7"/>
    <w:multiLevelType w:val="multilevel"/>
    <w:tmpl w:val="01DCC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827B74"/>
    <w:multiLevelType w:val="multilevel"/>
    <w:tmpl w:val="EDC41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796393">
    <w:abstractNumId w:val="3"/>
  </w:num>
  <w:num w:numId="2" w16cid:durableId="796141852">
    <w:abstractNumId w:val="0"/>
  </w:num>
  <w:num w:numId="3" w16cid:durableId="2103452832">
    <w:abstractNumId w:val="2"/>
  </w:num>
  <w:num w:numId="4" w16cid:durableId="489519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8A4"/>
    <w:rsid w:val="000D28A4"/>
    <w:rsid w:val="001C2513"/>
    <w:rsid w:val="002E6234"/>
    <w:rsid w:val="0040328E"/>
    <w:rsid w:val="00624857"/>
    <w:rsid w:val="00B61EF1"/>
    <w:rsid w:val="00FE531C"/>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909215-E36B-44D1-8EB1-B48864892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D28A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0D28A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0D28A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0D28A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0D28A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0D28A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D28A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D28A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D28A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28A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0D28A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0D28A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0D28A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0D28A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0D28A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D28A4"/>
    <w:rPr>
      <w:rFonts w:eastAsiaTheme="majorEastAsia" w:cstheme="majorBidi"/>
      <w:color w:val="595959" w:themeColor="text1" w:themeTint="A6"/>
    </w:rPr>
  </w:style>
  <w:style w:type="character" w:customStyle="1" w:styleId="80">
    <w:name w:val="Заголовок 8 Знак"/>
    <w:basedOn w:val="a0"/>
    <w:link w:val="8"/>
    <w:uiPriority w:val="9"/>
    <w:semiHidden/>
    <w:rsid w:val="000D28A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D28A4"/>
    <w:rPr>
      <w:rFonts w:eastAsiaTheme="majorEastAsia" w:cstheme="majorBidi"/>
      <w:color w:val="272727" w:themeColor="text1" w:themeTint="D8"/>
    </w:rPr>
  </w:style>
  <w:style w:type="paragraph" w:styleId="a3">
    <w:name w:val="Title"/>
    <w:basedOn w:val="a"/>
    <w:next w:val="a"/>
    <w:link w:val="a4"/>
    <w:uiPriority w:val="10"/>
    <w:qFormat/>
    <w:rsid w:val="000D28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D28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28A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D28A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D28A4"/>
    <w:pPr>
      <w:spacing w:before="160"/>
      <w:jc w:val="center"/>
    </w:pPr>
    <w:rPr>
      <w:i/>
      <w:iCs/>
      <w:color w:val="404040" w:themeColor="text1" w:themeTint="BF"/>
    </w:rPr>
  </w:style>
  <w:style w:type="character" w:customStyle="1" w:styleId="22">
    <w:name w:val="Цитата 2 Знак"/>
    <w:basedOn w:val="a0"/>
    <w:link w:val="21"/>
    <w:uiPriority w:val="29"/>
    <w:rsid w:val="000D28A4"/>
    <w:rPr>
      <w:i/>
      <w:iCs/>
      <w:color w:val="404040" w:themeColor="text1" w:themeTint="BF"/>
    </w:rPr>
  </w:style>
  <w:style w:type="paragraph" w:styleId="a7">
    <w:name w:val="List Paragraph"/>
    <w:basedOn w:val="a"/>
    <w:uiPriority w:val="34"/>
    <w:qFormat/>
    <w:rsid w:val="000D28A4"/>
    <w:pPr>
      <w:ind w:left="720"/>
      <w:contextualSpacing/>
    </w:pPr>
  </w:style>
  <w:style w:type="character" w:styleId="a8">
    <w:name w:val="Intense Emphasis"/>
    <w:basedOn w:val="a0"/>
    <w:uiPriority w:val="21"/>
    <w:qFormat/>
    <w:rsid w:val="000D28A4"/>
    <w:rPr>
      <w:i/>
      <w:iCs/>
      <w:color w:val="2F5496" w:themeColor="accent1" w:themeShade="BF"/>
    </w:rPr>
  </w:style>
  <w:style w:type="paragraph" w:styleId="a9">
    <w:name w:val="Intense Quote"/>
    <w:basedOn w:val="a"/>
    <w:next w:val="a"/>
    <w:link w:val="aa"/>
    <w:uiPriority w:val="30"/>
    <w:qFormat/>
    <w:rsid w:val="000D28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0D28A4"/>
    <w:rPr>
      <w:i/>
      <w:iCs/>
      <w:color w:val="2F5496" w:themeColor="accent1" w:themeShade="BF"/>
    </w:rPr>
  </w:style>
  <w:style w:type="character" w:styleId="ab">
    <w:name w:val="Intense Reference"/>
    <w:basedOn w:val="a0"/>
    <w:uiPriority w:val="32"/>
    <w:qFormat/>
    <w:rsid w:val="000D28A4"/>
    <w:rPr>
      <w:b/>
      <w:bCs/>
      <w:smallCaps/>
      <w:color w:val="2F5496" w:themeColor="accent1" w:themeShade="BF"/>
      <w:spacing w:val="5"/>
    </w:rPr>
  </w:style>
  <w:style w:type="character" w:styleId="ac">
    <w:name w:val="Hyperlink"/>
    <w:basedOn w:val="a0"/>
    <w:uiPriority w:val="99"/>
    <w:unhideWhenUsed/>
    <w:rsid w:val="00B61EF1"/>
    <w:rPr>
      <w:color w:val="0563C1" w:themeColor="hyperlink"/>
      <w:u w:val="single"/>
    </w:rPr>
  </w:style>
  <w:style w:type="character" w:styleId="ad">
    <w:name w:val="Unresolved Mention"/>
    <w:basedOn w:val="a0"/>
    <w:uiPriority w:val="99"/>
    <w:semiHidden/>
    <w:unhideWhenUsed/>
    <w:rsid w:val="00B61EF1"/>
    <w:rPr>
      <w:color w:val="605E5C"/>
      <w:shd w:val="clear" w:color="auto" w:fill="E1DFDD"/>
    </w:rPr>
  </w:style>
  <w:style w:type="paragraph" w:styleId="ae">
    <w:name w:val="header"/>
    <w:basedOn w:val="a"/>
    <w:link w:val="af"/>
    <w:uiPriority w:val="99"/>
    <w:unhideWhenUsed/>
    <w:rsid w:val="00B61EF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B61EF1"/>
  </w:style>
  <w:style w:type="paragraph" w:styleId="af0">
    <w:name w:val="footer"/>
    <w:basedOn w:val="a"/>
    <w:link w:val="af1"/>
    <w:uiPriority w:val="99"/>
    <w:unhideWhenUsed/>
    <w:rsid w:val="00B61EF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B61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986692">
      <w:bodyDiv w:val="1"/>
      <w:marLeft w:val="0"/>
      <w:marRight w:val="0"/>
      <w:marTop w:val="0"/>
      <w:marBottom w:val="0"/>
      <w:divBdr>
        <w:top w:val="none" w:sz="0" w:space="0" w:color="auto"/>
        <w:left w:val="none" w:sz="0" w:space="0" w:color="auto"/>
        <w:bottom w:val="none" w:sz="0" w:space="0" w:color="auto"/>
        <w:right w:val="none" w:sz="0" w:space="0" w:color="auto"/>
      </w:divBdr>
    </w:div>
    <w:div w:id="1180582740">
      <w:bodyDiv w:val="1"/>
      <w:marLeft w:val="0"/>
      <w:marRight w:val="0"/>
      <w:marTop w:val="0"/>
      <w:marBottom w:val="0"/>
      <w:divBdr>
        <w:top w:val="none" w:sz="0" w:space="0" w:color="auto"/>
        <w:left w:val="none" w:sz="0" w:space="0" w:color="auto"/>
        <w:bottom w:val="none" w:sz="0" w:space="0" w:color="auto"/>
        <w:right w:val="none" w:sz="0" w:space="0" w:color="auto"/>
      </w:divBdr>
    </w:div>
    <w:div w:id="1354107442">
      <w:bodyDiv w:val="1"/>
      <w:marLeft w:val="0"/>
      <w:marRight w:val="0"/>
      <w:marTop w:val="0"/>
      <w:marBottom w:val="0"/>
      <w:divBdr>
        <w:top w:val="none" w:sz="0" w:space="0" w:color="auto"/>
        <w:left w:val="none" w:sz="0" w:space="0" w:color="auto"/>
        <w:bottom w:val="none" w:sz="0" w:space="0" w:color="auto"/>
        <w:right w:val="none" w:sz="0" w:space="0" w:color="auto"/>
      </w:divBdr>
    </w:div>
    <w:div w:id="170100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55-17" TargetMode="External"/><Relationship Id="rId13" Type="http://schemas.openxmlformats.org/officeDocument/2006/relationships/hyperlink" Target="https://zakon.rada.gov.ua/laws/show/80731-1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uhplatforma.com.ua/article/8702-splata-sv-fop-u-2021-rots" TargetMode="External"/><Relationship Id="rId12" Type="http://schemas.openxmlformats.org/officeDocument/2006/relationships/hyperlink" Target="https://zakon.rada.gov.ua/laws/show/3817-2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zakon.rada.gov.ua/laws/show/80731-1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265/95-%D0%B2%D1%80" TargetMode="External"/><Relationship Id="rId5" Type="http://schemas.openxmlformats.org/officeDocument/2006/relationships/footnotes" Target="footnotes.xml"/><Relationship Id="rId15" Type="http://schemas.openxmlformats.org/officeDocument/2006/relationships/hyperlink" Target="https://zakon.rada.gov.ua/laws/show/322-08" TargetMode="External"/><Relationship Id="rId10" Type="http://schemas.openxmlformats.org/officeDocument/2006/relationships/hyperlink" Target="https://buhplatforma.com.ua/article/8634-rro-dlya-fop-u-2021-rot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zakon.rada.gov.ua/laws/show/2464-17" TargetMode="External"/><Relationship Id="rId14" Type="http://schemas.openxmlformats.org/officeDocument/2006/relationships/hyperlink" Target="https://gb.expertus.com.ua/recommendations/2813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565</Words>
  <Characters>3225</Characters>
  <Application>Microsoft Office Word</Application>
  <DocSecurity>0</DocSecurity>
  <Lines>26</Lines>
  <Paragraphs>7</Paragraphs>
  <ScaleCrop>false</ScaleCrop>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Мар‘яна Микитин</dc:creator>
  <cp:keywords/>
  <dc:description/>
  <cp:lastModifiedBy>Мар‘яна Микитин</cp:lastModifiedBy>
  <cp:revision>3</cp:revision>
  <dcterms:created xsi:type="dcterms:W3CDTF">2025-04-17T12:28:00Z</dcterms:created>
  <dcterms:modified xsi:type="dcterms:W3CDTF">2025-04-17T12:29:00Z</dcterms:modified>
</cp:coreProperties>
</file>