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EB4C3" w14:textId="67B97E48" w:rsidR="00C83BF3" w:rsidRPr="008A08F6" w:rsidRDefault="00000000" w:rsidP="0043192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850"/>
        <w:rPr>
          <w:b/>
          <w:bCs/>
          <w:sz w:val="54"/>
          <w:szCs w:val="54"/>
          <w:lang w:val="uk-UA"/>
        </w:rPr>
      </w:pPr>
      <w:r w:rsidRPr="008A08F6">
        <w:rPr>
          <w:b/>
          <w:bCs/>
          <w:sz w:val="54"/>
          <w:szCs w:val="54"/>
          <w:lang w:val="uk-UA"/>
        </w:rPr>
        <w:t>Ставки ЄСВ у 2026 році</w:t>
      </w:r>
    </w:p>
    <w:p w14:paraId="20C98F8F" w14:textId="77777777" w:rsidR="00C83BF3" w:rsidRPr="008A08F6" w:rsidRDefault="00C83B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 w:right="850"/>
        <w:jc w:val="center"/>
        <w:rPr>
          <w:b/>
          <w:bCs/>
          <w:sz w:val="54"/>
          <w:szCs w:val="54"/>
          <w:lang w:val="uk-UA"/>
        </w:rPr>
      </w:pPr>
    </w:p>
    <w:p w14:paraId="6F9517F2" w14:textId="77777777" w:rsidR="00C83BF3" w:rsidRPr="008A08F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404" w:lineRule="auto"/>
        <w:ind w:left="850" w:right="850"/>
        <w:rPr>
          <w:b/>
          <w:bCs/>
          <w:sz w:val="28"/>
          <w:szCs w:val="28"/>
          <w:u w:val="single"/>
          <w:lang w:val="uk-UA"/>
        </w:rPr>
      </w:pPr>
      <w:r w:rsidRPr="008A08F6">
        <w:rPr>
          <w:sz w:val="28"/>
          <w:szCs w:val="28"/>
          <w:lang w:val="uk-UA"/>
        </w:rPr>
        <w:t>Читайте також:</w:t>
      </w:r>
      <w:hyperlink r:id="rId6">
        <w:r w:rsidR="00C83BF3" w:rsidRPr="008A08F6">
          <w:rPr>
            <w:b/>
            <w:bCs/>
            <w:sz w:val="28"/>
            <w:szCs w:val="28"/>
            <w:u w:val="single"/>
            <w:lang w:val="uk-UA"/>
          </w:rPr>
          <w:t> Як та скільки сплачувати ЄСВ</w:t>
        </w:r>
      </w:hyperlink>
    </w:p>
    <w:p w14:paraId="45C48531" w14:textId="77777777" w:rsidR="00C83BF3" w:rsidRPr="008A08F6" w:rsidRDefault="00C83BF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850" w:right="850"/>
        <w:rPr>
          <w:b/>
          <w:bCs/>
          <w:sz w:val="28"/>
          <w:szCs w:val="28"/>
          <w:u w:val="single"/>
          <w:lang w:val="uk-UA"/>
        </w:rPr>
      </w:pPr>
    </w:p>
    <w:tbl>
      <w:tblPr>
        <w:tblStyle w:val="a5"/>
        <w:tblW w:w="7659" w:type="dxa"/>
        <w:tblInd w:w="850" w:type="dxa"/>
        <w:tblBorders>
          <w:top w:val="single" w:sz="6" w:space="0" w:color="98A1AE"/>
          <w:left w:val="single" w:sz="6" w:space="0" w:color="98A1AE"/>
          <w:bottom w:val="single" w:sz="6" w:space="0" w:color="98A1AE"/>
          <w:right w:val="single" w:sz="6" w:space="0" w:color="98A1AE"/>
          <w:insideH w:val="single" w:sz="6" w:space="0" w:color="98A1AE"/>
          <w:insideV w:val="single" w:sz="6" w:space="0" w:color="98A1AE"/>
        </w:tblBorders>
        <w:tblLayout w:type="fixed"/>
        <w:tblLook w:val="0600" w:firstRow="0" w:lastRow="0" w:firstColumn="0" w:lastColumn="0" w:noHBand="1" w:noVBand="1"/>
      </w:tblPr>
      <w:tblGrid>
        <w:gridCol w:w="1659"/>
        <w:gridCol w:w="1535"/>
        <w:gridCol w:w="1525"/>
        <w:gridCol w:w="1415"/>
        <w:gridCol w:w="1525"/>
      </w:tblGrid>
      <w:tr w:rsidR="00C83BF3" w:rsidRPr="008A08F6" w14:paraId="49C0926A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F368065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</w:p>
          <w:p w14:paraId="08E8632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  <w:t>Категорія платника ЄСВ (страхувальника)</w:t>
            </w:r>
          </w:p>
          <w:p w14:paraId="562FCAEB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28882B9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  <w:p w14:paraId="4A0BB58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  <w:t>Категорія застрахованої особи</w:t>
            </w:r>
          </w:p>
          <w:p w14:paraId="3E3F7FA4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5109CA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  <w:p w14:paraId="0955B57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  <w:t>Ставка ЄСВ, %</w:t>
            </w:r>
          </w:p>
          <w:p w14:paraId="381F5C1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61BB6B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  <w:p w14:paraId="103E6434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  <w:t>База нарахування ЄСВ</w:t>
            </w:r>
          </w:p>
          <w:p w14:paraId="4496D5D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9956BD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  <w:p w14:paraId="245825A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  <w:t>Примітки</w:t>
            </w:r>
          </w:p>
          <w:p w14:paraId="64A930C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b/>
                <w:bCs/>
                <w:sz w:val="24"/>
                <w:szCs w:val="24"/>
                <w:lang w:val="uk-UA"/>
              </w:rPr>
            </w:pPr>
          </w:p>
        </w:tc>
      </w:tr>
      <w:tr w:rsidR="00C83BF3" w:rsidRPr="008A08F6" w14:paraId="4211EFA1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BBDC3B9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Фізична особа —підприємець (загальна система оподаткування)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A0A7A88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Фізична особа —підприємець</w:t>
              </w:r>
            </w:hyperlink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F0B83A8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  <w:p w14:paraId="37C68C1D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6FA045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Дохід (прибуток), отриманий від діяльності, з якого </w:t>
            </w:r>
            <w:hyperlink r:id="rId8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утримують ПДФО</w:t>
              </w:r>
            </w:hyperlink>
          </w:p>
          <w:p w14:paraId="50851BE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D8B48E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Якщо у місяці не отримано дохід, базу нарахування ЄСВ за цей місяць визначаємо самостійн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о у межах із січня по грудень  8647 грн — 172 940 грн</w:t>
            </w:r>
          </w:p>
          <w:p w14:paraId="0378884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</w:tr>
      <w:tr w:rsidR="00C83BF3" w:rsidRPr="008A08F6" w14:paraId="0146D0F3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522BE6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Особа, яка </w:t>
            </w:r>
            <w:hyperlink r:id="rId9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 xml:space="preserve">провадить </w:t>
              </w:r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lastRenderedPageBreak/>
                <w:t>незалежну професійну діяльність</w:t>
              </w:r>
            </w:hyperlink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0EFDAE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Особа, яка провадить незалежну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професійну діяльність</w:t>
            </w: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CAE7795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C2E85E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FD351E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  <w:p w14:paraId="08FA9956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  <w:p w14:paraId="10D9407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Дохід (прибуток), отриманий від діяльності, з якого </w:t>
            </w:r>
            <w:hyperlink r:id="rId10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утримують ПДФО</w:t>
              </w:r>
            </w:hyperlink>
          </w:p>
          <w:p w14:paraId="798B3FB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  <w:p w14:paraId="6E174C0E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Якщо у місяці не отримано дохід, базу нарахування ЄСВ за цей місяць визначаємо самостійно у межах із січня по грудень  8647 грн — 172 940 грн</w:t>
            </w:r>
          </w:p>
          <w:p w14:paraId="0ECD9E8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</w:tr>
      <w:tr w:rsidR="00C83BF3" w:rsidRPr="008A08F6" w14:paraId="7D9CC3F4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4CAA71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Член </w:t>
            </w:r>
            <w:hyperlink r:id="rId11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фермерського господарства</w:t>
              </w:r>
            </w:hyperlink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D78C24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Член фермерського господарства</w:t>
            </w: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CC2B1A4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425C26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7A0FEB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  <w:p w14:paraId="66582C2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  <w:p w14:paraId="5FA3FD6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Дохід (прибуток), отриманий від діяльності, з якого </w:t>
            </w:r>
            <w:hyperlink r:id="rId12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утримують ПДФО</w:t>
              </w:r>
            </w:hyperlink>
          </w:p>
          <w:p w14:paraId="313C9189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  <w:p w14:paraId="7BA8150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Якщо у місяці не отримано дохід, базу нарахування ЄСВ за цей місяць визначаємо самостійно у межах із січня по грудень  8647 грн — 172 940 грн</w:t>
            </w:r>
          </w:p>
          <w:p w14:paraId="7A3C7D38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</w:tr>
      <w:tr w:rsidR="00C83BF3" w:rsidRPr="008A08F6" w14:paraId="33F8DDEF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216562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Фізична особа —підприємець (</w:t>
            </w:r>
            <w:hyperlink r:id="rId13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спрощена система оподаткування</w:t>
              </w:r>
            </w:hyperlink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)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DF439BD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14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Фізична особа —підприємець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D57CF2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CB293D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Визначає самостійно за місяць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9DF3B7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 грн — 172 940 грн</w:t>
            </w:r>
          </w:p>
        </w:tc>
      </w:tr>
      <w:tr w:rsidR="00C83BF3" w:rsidRPr="008A08F6" w14:paraId="6703BCAA" w14:textId="77777777">
        <w:tc>
          <w:tcPr>
            <w:tcW w:w="1659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D66D8E9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Особа, яка бере добровільну участь у системі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загальнообов’язкового державного соціального страхування</w:t>
            </w:r>
          </w:p>
          <w:p w14:paraId="1D9C609A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332B47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Особа, з якою укладено договір про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добровільну участь</w:t>
            </w:r>
          </w:p>
          <w:p w14:paraId="1B41D568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7A4B5A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22,00</w:t>
            </w:r>
          </w:p>
          <w:p w14:paraId="14D963F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2DDD41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Визначає самостійно за місяць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31DBDB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Розмір бази нарахування має бути у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межах 8647 грн — 172 940 грн</w:t>
            </w:r>
          </w:p>
        </w:tc>
      </w:tr>
      <w:tr w:rsidR="00C83BF3" w:rsidRPr="008A08F6" w14:paraId="4F6B7D19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569C5E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5D9602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Особа, яка бере добровільну участь у системі загальнообов’язкового державного соціального страхування</w:t>
            </w:r>
          </w:p>
          <w:p w14:paraId="4F4B2F2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  <w:p w14:paraId="125BF93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Особа, з якою укладено договір про добровільну участь</w:t>
            </w:r>
          </w:p>
          <w:p w14:paraId="6D740F2A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8769ED8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 × 22,00</w:t>
            </w:r>
          </w:p>
          <w:p w14:paraId="19B87D31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5A78788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Одноразова сплата ЄСВ за попередні періоди, в яких особа не підлягала загальнообов’язковому державному соціальному страхуванню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707583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Сума ЄСВ за кожен місяць 3804,68 грн (1902,34 грн × 2)</w:t>
            </w:r>
          </w:p>
          <w:p w14:paraId="0FD09186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</w:tr>
      <w:tr w:rsidR="00C83BF3" w:rsidRPr="008A08F6" w14:paraId="1765BB8A" w14:textId="77777777">
        <w:tc>
          <w:tcPr>
            <w:tcW w:w="1659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9AB037E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Роботодавці з числа:</w:t>
            </w:r>
          </w:p>
          <w:p w14:paraId="60B1E9B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►підприємств, установ, організацій, фізичних осіб — підприємців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45EFAE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Найманий працівник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без інвалідності (основне місце роботи)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ACB397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22,00</w:t>
            </w:r>
          </w:p>
        </w:tc>
        <w:tc>
          <w:tcPr>
            <w:tcW w:w="141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1687F1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15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днів тимчасової непрацездатності, </w:t>
            </w:r>
            <w:hyperlink r:id="rId16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1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0E1898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Розмір бази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нарахування має бути у межах 8647 грн — 172 940 грн</w:t>
            </w:r>
          </w:p>
        </w:tc>
      </w:tr>
      <w:tr w:rsidR="00C83BF3" w:rsidRPr="008A08F6" w14:paraId="1031099A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4D8594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Роботодавці з числа:</w:t>
            </w:r>
          </w:p>
          <w:p w14:paraId="6AE6B35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►підприємств, установ, організацій, фізичних осіб — підприємців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F7AFEA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без інвалідності (не основне місце роботи)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C89063F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FC158BB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18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19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20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775E07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 грн — 172 940 грн</w:t>
            </w:r>
          </w:p>
        </w:tc>
      </w:tr>
      <w:tr w:rsidR="00C83BF3" w:rsidRPr="008A08F6" w14:paraId="0101BEE0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44A20A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Роботодавці з числа:</w:t>
            </w:r>
          </w:p>
          <w:p w14:paraId="6AD379F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►підприємств, установ, організацій, фізичних осіб — підприємців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DFBB82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з інвалідністю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CD47088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8,41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CEDEC5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E91BF9F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21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22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23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</w:p>
          <w:p w14:paraId="5870F8B3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 грн — 172 940 грн</w:t>
            </w:r>
          </w:p>
        </w:tc>
      </w:tr>
      <w:tr w:rsidR="00C83BF3" w:rsidRPr="008A08F6" w14:paraId="79136318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B0454A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Роботодавці з числа:</w:t>
            </w:r>
          </w:p>
          <w:p w14:paraId="3030EDEE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►підприємств, установ, організацій, фізичних осіб — підприємців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0247F2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Особа, яка виконує роботи (надає послуги) за </w:t>
            </w:r>
            <w:hyperlink r:id="rId24">
              <w:r w:rsidR="00C83BF3"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32FD8A1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D969F4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Винагорода за договором ЦПХ</w:t>
            </w: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66984A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 грн — 172 940 грн</w:t>
            </w:r>
          </w:p>
        </w:tc>
      </w:tr>
      <w:tr w:rsidR="00C83BF3" w:rsidRPr="008A08F6" w14:paraId="736D5682" w14:textId="77777777">
        <w:tc>
          <w:tcPr>
            <w:tcW w:w="1659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7CD7AC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►підприємств та організацій всеукраїнських громадських організацій осіб з інвалідністю, зокрема товариств УТОГ та УТОС</w:t>
            </w:r>
          </w:p>
          <w:p w14:paraId="20EC86F4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D0203F3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Найманий працівник, у т. ч. з інвалідністю, та особа, яка виконує роботи (надає послуги) за </w:t>
            </w:r>
            <w:hyperlink r:id="rId25">
              <w:r w:rsidR="00C83BF3"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15E5BCA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5,30</w:t>
            </w:r>
          </w:p>
        </w:tc>
        <w:tc>
          <w:tcPr>
            <w:tcW w:w="141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BF43E68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26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 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за видами виплат, які включають основну та додаткову зарплату, інші заохочувальні та компенсаційні виплати, у т. ч. у натуральній формі, а також оплата 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перших п’яти днів тимчасової непрацездатності, </w:t>
            </w:r>
            <w:hyperlink r:id="rId2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28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винагорода за </w:t>
            </w:r>
            <w:hyperlink r:id="rId29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  <w:p w14:paraId="440AF67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39D450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hyperlink r:id="rId30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Кількість осіб з інвалідністю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становить 50% і більше загальної чисельності працюючих і фонд оплати праці осіб з інвалідністю становить 25% і більше суми витрат на оплату праці по підприємс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тву</w:t>
            </w:r>
          </w:p>
        </w:tc>
      </w:tr>
      <w:tr w:rsidR="00C83BF3" w:rsidRPr="008A08F6" w14:paraId="61141BBE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49CB1F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►підприємств та організацій всеукраїнських громадських організацій осіб з інвалідністю, зокрема товариств УТОГ та УТОС</w:t>
            </w:r>
          </w:p>
          <w:p w14:paraId="4A630FA4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55BDD0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без інвалідності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03BE05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  <w:p w14:paraId="541B22C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0131C91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31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 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32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33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винагорода за </w:t>
            </w:r>
            <w:hyperlink r:id="rId34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  <w:p w14:paraId="683BB77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5F9894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Кількість осіб з інвалідністю становить менше 50% загальної чисельності працюючих або фонд оплати праці осіб з інвалідністю становить менше 25% суми витрат на оплату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праці по підприємству</w:t>
            </w:r>
          </w:p>
        </w:tc>
      </w:tr>
      <w:tr w:rsidR="00C83BF3" w:rsidRPr="008A08F6" w14:paraId="55B9D33E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B7935A4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всеукраїнських громадських організацій осіб з інвалідністю, зокрема товариств УТОГ та УТОС</w:t>
            </w:r>
          </w:p>
          <w:p w14:paraId="540BCAD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3707F8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з інвалідністю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DD9427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8,41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2D6F88A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C0999FA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35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 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36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3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винагорода за </w:t>
            </w:r>
            <w:hyperlink r:id="rId38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  <w:p w14:paraId="2764EF7A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  <w:p w14:paraId="6643E51F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Кількість осіб з інвалідністю становить менше 50% загальної чисельності працюючих або фонд оплати праці осіб з інвалідністю становить менше 25% суми витрат на оплату праці по підприємству</w:t>
            </w:r>
          </w:p>
        </w:tc>
      </w:tr>
      <w:tr w:rsidR="00C83BF3" w:rsidRPr="008A08F6" w14:paraId="6DF0AC8A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4E9CA7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всеукраїнських громадських організацій осіб з інвалідністю, зокрема товариств УТОГ та УТОС</w:t>
            </w:r>
          </w:p>
          <w:p w14:paraId="2809020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C9EEB34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Особа, яка виконує роботи (надає послуги) за </w:t>
            </w:r>
            <w:hyperlink r:id="rId39">
              <w:r w:rsidR="00C83BF3"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7B219FB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69BA83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C90634D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40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 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41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42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винагорода за </w:t>
            </w:r>
            <w:hyperlink r:id="rId43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  <w:p w14:paraId="6A3E5258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</w:p>
          <w:p w14:paraId="73E9DDD8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Кількість осіб з інвалідністю становить менше 50% загальної чисельності працюючих або фонд оплати праці осіб з інвалідністю становить менше 25% суми витрат на оплату праці по підприємству</w:t>
            </w:r>
          </w:p>
        </w:tc>
      </w:tr>
      <w:tr w:rsidR="00C83BF3" w:rsidRPr="008A08F6" w14:paraId="6954709B" w14:textId="77777777">
        <w:tc>
          <w:tcPr>
            <w:tcW w:w="1659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5181AC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громадських організацій осіб з інвалідністю</w:t>
            </w:r>
          </w:p>
          <w:p w14:paraId="48C711E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8061F03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без інвалідності та особа, яка виконує роботи (надає послуги) за </w:t>
            </w:r>
            <w:hyperlink r:id="rId44">
              <w:r w:rsidR="00C83BF3"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договором ЦПХ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DE07EFF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  <w:p w14:paraId="6874CC5C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3D0C973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hyperlink r:id="rId45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ній формі, а також оплата перших п’яти днів тимчасової непрацездатності, </w:t>
            </w:r>
            <w:hyperlink r:id="rId46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4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, винагорода за договоро</w:t>
            </w:r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м ЦПХ</w:t>
            </w:r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BCD2D6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 xml:space="preserve">Кількість осіб з інвалідністю становить 50% і більше загальної чисельності працюючих і фонд оплати праці осіб з інвалідністю становить 25% і більше суми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витрат на оплату праці по підприємству</w:t>
            </w:r>
          </w:p>
        </w:tc>
      </w:tr>
      <w:tr w:rsidR="00C83BF3" w:rsidRPr="008A08F6" w14:paraId="481F4DE4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770EB7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громадських організацій осіб з інвалідністю</w:t>
            </w:r>
          </w:p>
          <w:p w14:paraId="7206D394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AEFC55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u w:val="single"/>
                <w:lang w:val="uk-UA"/>
              </w:rPr>
            </w:pPr>
            <w:hyperlink r:id="rId48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Найманий працівник з інвалідністю</w:t>
              </w:r>
            </w:hyperlink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B713AF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5,50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1EF283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EE57DD9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hyperlink r:id="rId49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50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51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, винагорода за договором ЦПХ</w:t>
            </w:r>
          </w:p>
          <w:p w14:paraId="0519C175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Кількість осіб з інвалідністю становить 50% і більше загальної чисельності працюючих і фонд оплати праці осіб з інвалідністю становить 25% і більше суми витрат на оплату праці по підприємству</w:t>
            </w:r>
          </w:p>
        </w:tc>
      </w:tr>
      <w:tr w:rsidR="00C83BF3" w:rsidRPr="008A08F6" w14:paraId="430BADB1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3FBF9FE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громадських організацій осіб з інвалідністю</w:t>
            </w:r>
          </w:p>
          <w:p w14:paraId="24B2812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F10B291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без інвалідності та особа, яка виконує роботи (надає послуги) за договором ЦПХ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E9F4DDF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07B651C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hyperlink r:id="rId52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53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54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, винагорода за договором ЦПХ</w:t>
            </w:r>
          </w:p>
        </w:tc>
        <w:tc>
          <w:tcPr>
            <w:tcW w:w="1524" w:type="dxa"/>
            <w:vMerge w:val="restart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8E2E22D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Кількість осіб з інвалідністю становить менше 50% загальної чисельності працюючих або фонд оплати праці осіб з інвалідністю становить 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менше 25% суми витрат на оплату праці по підприємству</w:t>
            </w:r>
          </w:p>
        </w:tc>
      </w:tr>
      <w:tr w:rsidR="00C83BF3" w:rsidRPr="008A08F6" w14:paraId="03A878BF" w14:textId="77777777">
        <w:tc>
          <w:tcPr>
            <w:tcW w:w="1659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21334DF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►підприємств та організацій громадських організацій осіб з інвалідністю</w:t>
            </w:r>
          </w:p>
          <w:p w14:paraId="25E01320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04A6A6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Найманий працівник з інвалідністю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1DF9DBE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8,41</w:t>
            </w:r>
          </w:p>
        </w:tc>
        <w:tc>
          <w:tcPr>
            <w:tcW w:w="141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AB37D0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vMerge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2D165AB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hyperlink r:id="rId55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Заробітна плата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 за видами виплат, які включають основну та додаткову зарплату, інші заохочувальні та компенсаційні виплати, у т. ч. у натуральній формі, а також оплата перших п’яти днів тимчасової непрацездатності, </w:t>
            </w:r>
            <w:hyperlink r:id="rId56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тимчасовій непрацездатності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 xml:space="preserve">, </w:t>
            </w:r>
            <w:hyperlink r:id="rId57">
              <w:r w:rsidRPr="008A08F6">
                <w:rPr>
                  <w:rFonts w:ascii="Noto Sans" w:eastAsia="Noto Sans" w:hAnsi="Noto Sans" w:cs="Noto Sans"/>
                  <w:sz w:val="24"/>
                  <w:szCs w:val="24"/>
                  <w:u w:val="single"/>
                  <w:lang w:val="uk-UA"/>
                </w:rPr>
                <w:t>допомога по вагітності та пологах</w:t>
              </w:r>
            </w:hyperlink>
            <w:r w:rsidR="00000000"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, винагорода за договором ЦПХ</w:t>
            </w:r>
          </w:p>
          <w:p w14:paraId="263613F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Кількість осіб з інвалідністю становить менше 50% загальної чисельності працюючих або фонд оплати праці осіб з інвалідністю становить менше 25% суми витрат на оплату праці по підприємству</w:t>
            </w:r>
          </w:p>
        </w:tc>
      </w:tr>
      <w:tr w:rsidR="00C83BF3" w:rsidRPr="008A08F6" w14:paraId="7836536D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12CE99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Військові частини та органи, які виплачують грошове забезпечення</w:t>
            </w:r>
          </w:p>
          <w:p w14:paraId="630A1427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4B41554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Військовослужбовці, поліцейські, особи рядового і начальницького складу, особи, які проходять строкову військову службу у ЗСУ, інших військових формуван</w:t>
            </w: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нях, СБУ, органах МВС, органах і підрозділах цивільного захисту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BA3065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lastRenderedPageBreak/>
              <w:t>22,00</w:t>
            </w:r>
          </w:p>
          <w:p w14:paraId="183714BE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4238E66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Грошове забезпечення</w:t>
            </w:r>
          </w:p>
          <w:p w14:paraId="331A9C92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EF56BC0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8647,00 грн — 129 705 грн</w:t>
            </w:r>
          </w:p>
          <w:p w14:paraId="48336F01" w14:textId="77777777" w:rsidR="00C83BF3" w:rsidRPr="008A08F6" w:rsidRDefault="00C83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</w:p>
        </w:tc>
      </w:tr>
      <w:tr w:rsidR="00C83BF3" w:rsidRPr="008A08F6" w14:paraId="2E9E8029" w14:textId="77777777">
        <w:tc>
          <w:tcPr>
            <w:tcW w:w="1659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72B632C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Районні (міські) управління праці та соціального захисту населення</w:t>
            </w:r>
          </w:p>
        </w:tc>
        <w:tc>
          <w:tcPr>
            <w:tcW w:w="1535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6888273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Особи, які отримують допомогу, надбавки, компенсації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E014C19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22,00</w:t>
            </w:r>
          </w:p>
        </w:tc>
        <w:tc>
          <w:tcPr>
            <w:tcW w:w="141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2D11827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Допомога, надбавка, компенсація, що виплачується згідно із законодавством</w:t>
            </w:r>
          </w:p>
        </w:tc>
        <w:tc>
          <w:tcPr>
            <w:tcW w:w="1524" w:type="dxa"/>
            <w:tcBorders>
              <w:top w:val="single" w:sz="6" w:space="0" w:color="98A1AE"/>
              <w:left w:val="single" w:sz="6" w:space="0" w:color="98A1AE"/>
              <w:bottom w:val="single" w:sz="6" w:space="0" w:color="98A1AE"/>
              <w:right w:val="single" w:sz="6" w:space="0" w:color="98A1AE"/>
            </w:tcBorders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A984512" w14:textId="77777777" w:rsidR="00C83BF3" w:rsidRPr="008A08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" w:eastAsia="Noto Sans" w:hAnsi="Noto Sans" w:cs="Noto Sans"/>
                <w:sz w:val="24"/>
                <w:szCs w:val="24"/>
                <w:lang w:val="uk-UA"/>
              </w:rPr>
            </w:pPr>
            <w:r w:rsidRPr="008A08F6">
              <w:rPr>
                <w:rFonts w:ascii="Noto Sans" w:eastAsia="Noto Sans" w:hAnsi="Noto Sans" w:cs="Noto Sans"/>
                <w:sz w:val="24"/>
                <w:szCs w:val="24"/>
                <w:lang w:val="uk-UA"/>
              </w:rPr>
              <w:t>Розмір бази нарахування має бути у межах 8647 грн — 172 940 грн</w:t>
            </w:r>
          </w:p>
        </w:tc>
      </w:tr>
    </w:tbl>
    <w:p w14:paraId="11A76D5A" w14:textId="77777777" w:rsidR="00C83BF3" w:rsidRPr="008A08F6" w:rsidRDefault="00C83B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" w:eastAsia="Noto Sans" w:hAnsi="Noto Sans" w:cs="Noto Sans"/>
          <w:sz w:val="24"/>
          <w:szCs w:val="24"/>
          <w:lang w:val="uk-UA"/>
        </w:rPr>
      </w:pPr>
    </w:p>
    <w:sectPr w:rsidR="00C83BF3" w:rsidRPr="008A08F6">
      <w:headerReference w:type="default" r:id="rId5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86431" w14:textId="77777777" w:rsidR="002E364E" w:rsidRDefault="002E364E" w:rsidP="0043192C">
      <w:pPr>
        <w:spacing w:line="240" w:lineRule="auto"/>
      </w:pPr>
      <w:r>
        <w:separator/>
      </w:r>
    </w:p>
  </w:endnote>
  <w:endnote w:type="continuationSeparator" w:id="0">
    <w:p w14:paraId="570FEA26" w14:textId="77777777" w:rsidR="002E364E" w:rsidRDefault="002E364E" w:rsidP="004319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94FCF68-0107-4921-B257-71A839B4B20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455E9BBC-C49D-46D7-B1D0-A811085C2F24}"/>
    <w:embedBold r:id="rId3" w:fontKey="{0CDBF0B6-0371-4D33-AD50-C329A377784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770D71E-C7E2-47AF-B717-3C0AAD6B60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E307C5C-9F41-4AAB-A754-004AAD500E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96386" w14:textId="77777777" w:rsidR="002E364E" w:rsidRDefault="002E364E" w:rsidP="0043192C">
      <w:pPr>
        <w:spacing w:line="240" w:lineRule="auto"/>
      </w:pPr>
      <w:r>
        <w:separator/>
      </w:r>
    </w:p>
  </w:footnote>
  <w:footnote w:type="continuationSeparator" w:id="0">
    <w:p w14:paraId="142B865F" w14:textId="77777777" w:rsidR="002E364E" w:rsidRDefault="002E364E" w:rsidP="004319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6EC3A" w14:textId="487D7035" w:rsidR="0043192C" w:rsidRDefault="0043192C">
    <w:pPr>
      <w:pStyle w:val="a6"/>
    </w:pPr>
    <w:r w:rsidRPr="00913E9C">
      <w:rPr>
        <w:noProof/>
      </w:rPr>
      <w:drawing>
        <wp:inline distT="0" distB="0" distL="0" distR="0" wp14:anchorId="0F4670E8" wp14:editId="1C662AFB">
          <wp:extent cx="857250" cy="352425"/>
          <wp:effectExtent l="0" t="0" r="0" b="9525"/>
          <wp:docPr id="182610715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17" cy="353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F3"/>
    <w:rsid w:val="002E364E"/>
    <w:rsid w:val="0043192C"/>
    <w:rsid w:val="008A08F6"/>
    <w:rsid w:val="00C83BF3"/>
    <w:rsid w:val="00D14778"/>
    <w:rsid w:val="00EB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D3C93"/>
  <w15:docId w15:val="{C765F88B-C705-49E0-8F50-17C8BC94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UA" w:eastAsia="ru-UA" w:bidi="ar-SA"/>
      </w:rPr>
    </w:rPrDefault>
    <w:pPrDefault>
      <w:pPr>
        <w:widowControl w:val="0"/>
        <w:spacing w:line="2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43192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92C"/>
  </w:style>
  <w:style w:type="paragraph" w:styleId="a8">
    <w:name w:val="footer"/>
    <w:basedOn w:val="a"/>
    <w:link w:val="a9"/>
    <w:uiPriority w:val="99"/>
    <w:unhideWhenUsed/>
    <w:rsid w:val="0043192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b.expertus.com.ua/directories/2164" TargetMode="External"/><Relationship Id="rId18" Type="http://schemas.openxmlformats.org/officeDocument/2006/relationships/hyperlink" Target="https://gb.expertus.com.ua/consultations/4269" TargetMode="External"/><Relationship Id="rId26" Type="http://schemas.openxmlformats.org/officeDocument/2006/relationships/hyperlink" Target="https://gb.expertus.com.ua/consultations/4269" TargetMode="External"/><Relationship Id="rId39" Type="http://schemas.openxmlformats.org/officeDocument/2006/relationships/hyperlink" Target="https://gb.expertus.com.ua/consultations/3855" TargetMode="External"/><Relationship Id="rId21" Type="http://schemas.openxmlformats.org/officeDocument/2006/relationships/hyperlink" Target="https://gb.expertus.com.ua/consultations/4269" TargetMode="External"/><Relationship Id="rId34" Type="http://schemas.openxmlformats.org/officeDocument/2006/relationships/hyperlink" Target="https://gb.expertus.com.ua/consultations/3855" TargetMode="External"/><Relationship Id="rId42" Type="http://schemas.openxmlformats.org/officeDocument/2006/relationships/hyperlink" Target="https://gb.expertus.com.ua/consultations/3872" TargetMode="External"/><Relationship Id="rId47" Type="http://schemas.openxmlformats.org/officeDocument/2006/relationships/hyperlink" Target="https://gb.expertus.com.ua/consultations/3872" TargetMode="External"/><Relationship Id="rId50" Type="http://schemas.openxmlformats.org/officeDocument/2006/relationships/hyperlink" Target="https://gb.expertus.com.ua/consultations/4210" TargetMode="External"/><Relationship Id="rId55" Type="http://schemas.openxmlformats.org/officeDocument/2006/relationships/hyperlink" Target="https://gb.expertus.com.ua/consultations/4269" TargetMode="External"/><Relationship Id="rId7" Type="http://schemas.openxmlformats.org/officeDocument/2006/relationships/hyperlink" Target="https://gb.expertus.com.ua/consultations/571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b.expertus.com.ua/consultations/4210" TargetMode="External"/><Relationship Id="rId29" Type="http://schemas.openxmlformats.org/officeDocument/2006/relationships/hyperlink" Target="https://gb.expertus.com.ua/consultations/3855" TargetMode="External"/><Relationship Id="rId11" Type="http://schemas.openxmlformats.org/officeDocument/2006/relationships/hyperlink" Target="https://gb.expertus.com.ua/consultations/6950" TargetMode="External"/><Relationship Id="rId24" Type="http://schemas.openxmlformats.org/officeDocument/2006/relationships/hyperlink" Target="https://gb.expertus.com.ua/consultations/3855" TargetMode="External"/><Relationship Id="rId32" Type="http://schemas.openxmlformats.org/officeDocument/2006/relationships/hyperlink" Target="https://gb.expertus.com.ua/consultations/4210" TargetMode="External"/><Relationship Id="rId37" Type="http://schemas.openxmlformats.org/officeDocument/2006/relationships/hyperlink" Target="https://gb.expertus.com.ua/consultations/3872" TargetMode="External"/><Relationship Id="rId40" Type="http://schemas.openxmlformats.org/officeDocument/2006/relationships/hyperlink" Target="https://gb.expertus.com.ua/consultations/4269" TargetMode="External"/><Relationship Id="rId45" Type="http://schemas.openxmlformats.org/officeDocument/2006/relationships/hyperlink" Target="https://gb.expertus.com.ua/consultations/4269" TargetMode="External"/><Relationship Id="rId53" Type="http://schemas.openxmlformats.org/officeDocument/2006/relationships/hyperlink" Target="https://gb.expertus.com.ua/consultations/4210" TargetMode="External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hyperlink" Target="https://gb.expertus.com.ua/consultations/421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b.expertus.com.ua/consultations/4905" TargetMode="External"/><Relationship Id="rId14" Type="http://schemas.openxmlformats.org/officeDocument/2006/relationships/hyperlink" Target="https://gb.expertus.com.ua/consultations/5711" TargetMode="External"/><Relationship Id="rId22" Type="http://schemas.openxmlformats.org/officeDocument/2006/relationships/hyperlink" Target="https://gb.expertus.com.ua/consultations/4210" TargetMode="External"/><Relationship Id="rId27" Type="http://schemas.openxmlformats.org/officeDocument/2006/relationships/hyperlink" Target="https://gb.expertus.com.ua/consultations/4210" TargetMode="External"/><Relationship Id="rId30" Type="http://schemas.openxmlformats.org/officeDocument/2006/relationships/hyperlink" Target="https://gb.expertus.com.ua/consultations/6688" TargetMode="External"/><Relationship Id="rId35" Type="http://schemas.openxmlformats.org/officeDocument/2006/relationships/hyperlink" Target="https://gb.expertus.com.ua/consultations/4269" TargetMode="External"/><Relationship Id="rId43" Type="http://schemas.openxmlformats.org/officeDocument/2006/relationships/hyperlink" Target="https://gb.expertus.com.ua/consultations/3855" TargetMode="External"/><Relationship Id="rId48" Type="http://schemas.openxmlformats.org/officeDocument/2006/relationships/hyperlink" Target="https://gb.expertus.com.ua/consultations/6688" TargetMode="External"/><Relationship Id="rId56" Type="http://schemas.openxmlformats.org/officeDocument/2006/relationships/hyperlink" Target="https://gb.expertus.com.ua/consultations/4210" TargetMode="External"/><Relationship Id="rId8" Type="http://schemas.openxmlformats.org/officeDocument/2006/relationships/hyperlink" Target="https://gb.expertus.com.ua/consultations/5321" TargetMode="External"/><Relationship Id="rId51" Type="http://schemas.openxmlformats.org/officeDocument/2006/relationships/hyperlink" Target="https://gb.expertus.com.ua/consultations/387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gb.expertus.com.ua/consultations/5321" TargetMode="External"/><Relationship Id="rId17" Type="http://schemas.openxmlformats.org/officeDocument/2006/relationships/hyperlink" Target="https://gb.expertus.com.ua/consultations/3872" TargetMode="External"/><Relationship Id="rId25" Type="http://schemas.openxmlformats.org/officeDocument/2006/relationships/hyperlink" Target="https://gb.expertus.com.ua/consultations/3855" TargetMode="External"/><Relationship Id="rId33" Type="http://schemas.openxmlformats.org/officeDocument/2006/relationships/hyperlink" Target="https://gb.expertus.com.ua/consultations/3872" TargetMode="External"/><Relationship Id="rId38" Type="http://schemas.openxmlformats.org/officeDocument/2006/relationships/hyperlink" Target="https://gb.expertus.com.ua/consultations/3855" TargetMode="External"/><Relationship Id="rId46" Type="http://schemas.openxmlformats.org/officeDocument/2006/relationships/hyperlink" Target="https://gb.expertus.com.ua/consultations/4210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gb.expertus.com.ua/consultations/3872" TargetMode="External"/><Relationship Id="rId41" Type="http://schemas.openxmlformats.org/officeDocument/2006/relationships/hyperlink" Target="https://gb.expertus.com.ua/consultations/4210" TargetMode="External"/><Relationship Id="rId54" Type="http://schemas.openxmlformats.org/officeDocument/2006/relationships/hyperlink" Target="https://gb.expertus.com.ua/consultations/3872" TargetMode="External"/><Relationship Id="rId1" Type="http://schemas.openxmlformats.org/officeDocument/2006/relationships/styles" Target="styles.xml"/><Relationship Id="rId6" Type="http://schemas.openxmlformats.org/officeDocument/2006/relationships/hyperlink" Target="https://gb.expertus.com.ua/consultations/1481" TargetMode="External"/><Relationship Id="rId15" Type="http://schemas.openxmlformats.org/officeDocument/2006/relationships/hyperlink" Target="https://gb.expertus.com.ua/consultations/4269" TargetMode="External"/><Relationship Id="rId23" Type="http://schemas.openxmlformats.org/officeDocument/2006/relationships/hyperlink" Target="https://gb.expertus.com.ua/consultations/3872" TargetMode="External"/><Relationship Id="rId28" Type="http://schemas.openxmlformats.org/officeDocument/2006/relationships/hyperlink" Target="https://gb.expertus.com.ua/consultations/3872" TargetMode="External"/><Relationship Id="rId36" Type="http://schemas.openxmlformats.org/officeDocument/2006/relationships/hyperlink" Target="https://gb.expertus.com.ua/consultations/4210" TargetMode="External"/><Relationship Id="rId49" Type="http://schemas.openxmlformats.org/officeDocument/2006/relationships/hyperlink" Target="https://gb.expertus.com.ua/consultations/4269" TargetMode="External"/><Relationship Id="rId57" Type="http://schemas.openxmlformats.org/officeDocument/2006/relationships/hyperlink" Target="https://gb.expertus.com.ua/consultations/3872" TargetMode="External"/><Relationship Id="rId10" Type="http://schemas.openxmlformats.org/officeDocument/2006/relationships/hyperlink" Target="https://gb.expertus.com.ua/consultations/5321" TargetMode="External"/><Relationship Id="rId31" Type="http://schemas.openxmlformats.org/officeDocument/2006/relationships/hyperlink" Target="https://gb.expertus.com.ua/consultations/4269" TargetMode="External"/><Relationship Id="rId44" Type="http://schemas.openxmlformats.org/officeDocument/2006/relationships/hyperlink" Target="https://gb.expertus.com.ua/consultations/3855" TargetMode="External"/><Relationship Id="rId52" Type="http://schemas.openxmlformats.org/officeDocument/2006/relationships/hyperlink" Target="https://gb.expertus.com.ua/consultations/4269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1943</Words>
  <Characters>11078</Characters>
  <Application>Microsoft Office Word</Application>
  <DocSecurity>0</DocSecurity>
  <Lines>92</Lines>
  <Paragraphs>25</Paragraphs>
  <ScaleCrop>false</ScaleCrop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Мар‘яна Микитин</cp:lastModifiedBy>
  <cp:revision>4</cp:revision>
  <dcterms:created xsi:type="dcterms:W3CDTF">2026-01-09T09:52:00Z</dcterms:created>
  <dcterms:modified xsi:type="dcterms:W3CDTF">2026-01-09T09:54:00Z</dcterms:modified>
</cp:coreProperties>
</file>