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0ECD6" w14:textId="77777777" w:rsidR="00597E58" w:rsidRPr="00CF2728" w:rsidRDefault="00000000">
      <w:pPr>
        <w:pBdr>
          <w:top w:val="nil"/>
          <w:left w:val="nil"/>
          <w:bottom w:val="nil"/>
          <w:right w:val="nil"/>
          <w:between w:val="nil"/>
        </w:pBdr>
        <w:spacing w:before="240" w:line="404" w:lineRule="auto"/>
        <w:jc w:val="center"/>
        <w:rPr>
          <w:color w:val="000000"/>
          <w:sz w:val="20"/>
          <w:szCs w:val="20"/>
          <w:lang w:val="uk-UA"/>
        </w:rPr>
      </w:pPr>
      <w:r w:rsidRPr="00CF2728">
        <w:rPr>
          <w:noProof/>
          <w:color w:val="000000"/>
          <w:sz w:val="20"/>
          <w:szCs w:val="20"/>
          <w:lang w:val="uk-UA"/>
        </w:rPr>
        <w:drawing>
          <wp:inline distT="19050" distB="19050" distL="19050" distR="19050" wp14:anchorId="521D0426" wp14:editId="3E3506B0">
            <wp:extent cx="571500" cy="762000"/>
            <wp:effectExtent l="0" t="0" r="0" b="0"/>
            <wp:docPr id="1" name="image1.png" descr="emblem"/>
            <wp:cNvGraphicFramePr/>
            <a:graphic xmlns:a="http://schemas.openxmlformats.org/drawingml/2006/main">
              <a:graphicData uri="http://schemas.openxmlformats.org/drawingml/2006/picture">
                <pic:pic xmlns:pic="http://schemas.openxmlformats.org/drawingml/2006/picture">
                  <pic:nvPicPr>
                    <pic:cNvPr id="0" name="image1.png" descr="emblem"/>
                    <pic:cNvPicPr preferRelativeResize="0"/>
                  </pic:nvPicPr>
                  <pic:blipFill>
                    <a:blip r:embed="rId4"/>
                    <a:srcRect/>
                    <a:stretch>
                      <a:fillRect/>
                    </a:stretch>
                  </pic:blipFill>
                  <pic:spPr>
                    <a:xfrm>
                      <a:off x="0" y="0"/>
                      <a:ext cx="571500" cy="762000"/>
                    </a:xfrm>
                    <a:prstGeom prst="rect">
                      <a:avLst/>
                    </a:prstGeom>
                    <a:ln/>
                  </pic:spPr>
                </pic:pic>
              </a:graphicData>
            </a:graphic>
          </wp:inline>
        </w:drawing>
      </w:r>
    </w:p>
    <w:p w14:paraId="36AA7A40" w14:textId="77777777" w:rsidR="00597E58" w:rsidRPr="00CF2728" w:rsidRDefault="00000000">
      <w:pPr>
        <w:pBdr>
          <w:top w:val="nil"/>
          <w:left w:val="nil"/>
          <w:bottom w:val="nil"/>
          <w:right w:val="nil"/>
          <w:between w:val="nil"/>
        </w:pBdr>
        <w:spacing w:after="240"/>
        <w:jc w:val="center"/>
        <w:rPr>
          <w:sz w:val="20"/>
          <w:szCs w:val="20"/>
          <w:lang w:val="uk-UA"/>
        </w:rPr>
      </w:pPr>
      <w:r w:rsidRPr="00CF2728">
        <w:rPr>
          <w:sz w:val="20"/>
          <w:szCs w:val="20"/>
          <w:lang w:val="uk-UA"/>
        </w:rPr>
        <w:t> </w:t>
      </w:r>
    </w:p>
    <w:p w14:paraId="4520BF0B" w14:textId="77777777" w:rsidR="00597E58" w:rsidRPr="00CF2728" w:rsidRDefault="00000000">
      <w:pPr>
        <w:pStyle w:val="1"/>
        <w:spacing w:before="0" w:line="300" w:lineRule="auto"/>
        <w:jc w:val="center"/>
        <w:rPr>
          <w:rFonts w:ascii="Noto Sans" w:eastAsia="Noto Sans" w:hAnsi="Noto Sans" w:cs="Noto Sans"/>
          <w:sz w:val="20"/>
          <w:szCs w:val="20"/>
          <w:lang w:val="uk-UA"/>
        </w:rPr>
      </w:pPr>
      <w:r w:rsidRPr="00CF2728">
        <w:rPr>
          <w:rFonts w:ascii="Noto Sans" w:eastAsia="Noto Sans" w:hAnsi="Noto Sans" w:cs="Noto Sans"/>
          <w:sz w:val="20"/>
          <w:szCs w:val="20"/>
          <w:lang w:val="uk-UA"/>
        </w:rPr>
        <w:t>ДЕРЖАВНА ПОДАТКОВА СЛУЖБА УКРАЇНИ</w:t>
      </w:r>
    </w:p>
    <w:p w14:paraId="144DE204" w14:textId="77777777" w:rsidR="00597E58" w:rsidRPr="00CF2728" w:rsidRDefault="00000000">
      <w:pPr>
        <w:pStyle w:val="1"/>
        <w:spacing w:before="0" w:line="300" w:lineRule="auto"/>
        <w:jc w:val="center"/>
        <w:rPr>
          <w:rFonts w:ascii="Noto Sans" w:eastAsia="Noto Sans" w:hAnsi="Noto Sans" w:cs="Noto Sans"/>
          <w:sz w:val="20"/>
          <w:szCs w:val="20"/>
          <w:lang w:val="uk-UA"/>
        </w:rPr>
      </w:pPr>
      <w:r w:rsidRPr="00CF2728">
        <w:rPr>
          <w:rFonts w:ascii="Noto Sans" w:eastAsia="Noto Sans" w:hAnsi="Noto Sans" w:cs="Noto Sans"/>
          <w:sz w:val="20"/>
          <w:szCs w:val="20"/>
          <w:lang w:val="uk-UA"/>
        </w:rPr>
        <w:t>ЛИСТ</w:t>
      </w:r>
    </w:p>
    <w:p w14:paraId="0AE45ED7" w14:textId="77777777" w:rsidR="00597E58" w:rsidRPr="00CF2728" w:rsidRDefault="00000000">
      <w:pPr>
        <w:pStyle w:val="1"/>
        <w:spacing w:before="0" w:line="300" w:lineRule="auto"/>
        <w:jc w:val="center"/>
        <w:rPr>
          <w:rFonts w:ascii="Noto Sans" w:eastAsia="Noto Sans" w:hAnsi="Noto Sans" w:cs="Noto Sans"/>
          <w:sz w:val="20"/>
          <w:szCs w:val="20"/>
          <w:lang w:val="uk-UA"/>
        </w:rPr>
      </w:pPr>
      <w:r w:rsidRPr="00CF2728">
        <w:rPr>
          <w:rFonts w:ascii="Noto Sans" w:eastAsia="Noto Sans" w:hAnsi="Noto Sans" w:cs="Noto Sans"/>
          <w:sz w:val="20"/>
          <w:szCs w:val="20"/>
          <w:lang w:val="uk-UA"/>
        </w:rPr>
        <w:t>30 січня 2026 року № 2107/7/99-00-21-02-01-07 </w:t>
      </w:r>
    </w:p>
    <w:p w14:paraId="76171819" w14:textId="77777777" w:rsidR="00597E58" w:rsidRPr="00CF2728" w:rsidRDefault="00000000">
      <w:pPr>
        <w:pBdr>
          <w:top w:val="nil"/>
          <w:left w:val="nil"/>
          <w:bottom w:val="nil"/>
          <w:right w:val="nil"/>
          <w:between w:val="nil"/>
        </w:pBdr>
        <w:spacing w:line="404" w:lineRule="auto"/>
        <w:jc w:val="right"/>
        <w:rPr>
          <w:sz w:val="20"/>
          <w:szCs w:val="20"/>
          <w:lang w:val="uk-UA"/>
        </w:rPr>
      </w:pPr>
      <w:r w:rsidRPr="00CF2728">
        <w:rPr>
          <w:sz w:val="20"/>
          <w:szCs w:val="20"/>
          <w:lang w:val="uk-UA"/>
        </w:rPr>
        <w:t>Головним управлінням ДПС в</w:t>
      </w:r>
    </w:p>
    <w:p w14:paraId="6F04678C" w14:textId="77777777" w:rsidR="00597E58" w:rsidRPr="00CF2728" w:rsidRDefault="00000000">
      <w:pPr>
        <w:pBdr>
          <w:top w:val="nil"/>
          <w:left w:val="nil"/>
          <w:bottom w:val="nil"/>
          <w:right w:val="nil"/>
          <w:between w:val="nil"/>
        </w:pBdr>
        <w:spacing w:line="404" w:lineRule="auto"/>
        <w:jc w:val="right"/>
        <w:rPr>
          <w:sz w:val="20"/>
          <w:szCs w:val="20"/>
          <w:lang w:val="uk-UA"/>
        </w:rPr>
      </w:pPr>
      <w:r w:rsidRPr="00CF2728">
        <w:rPr>
          <w:sz w:val="20"/>
          <w:szCs w:val="20"/>
          <w:lang w:val="uk-UA"/>
        </w:rPr>
        <w:t>областях та м. Києві</w:t>
      </w:r>
    </w:p>
    <w:p w14:paraId="1705586D" w14:textId="77777777" w:rsidR="00597E58" w:rsidRPr="00CF2728" w:rsidRDefault="00000000">
      <w:pPr>
        <w:pBdr>
          <w:top w:val="nil"/>
          <w:left w:val="nil"/>
          <w:bottom w:val="nil"/>
          <w:right w:val="nil"/>
          <w:between w:val="nil"/>
        </w:pBdr>
        <w:spacing w:line="404" w:lineRule="auto"/>
        <w:jc w:val="right"/>
        <w:rPr>
          <w:sz w:val="20"/>
          <w:szCs w:val="20"/>
          <w:lang w:val="uk-UA"/>
        </w:rPr>
      </w:pPr>
      <w:r w:rsidRPr="00CF2728">
        <w:rPr>
          <w:sz w:val="20"/>
          <w:szCs w:val="20"/>
          <w:lang w:val="uk-UA"/>
        </w:rPr>
        <w:t>Міжрегіональним управлінням ДПС</w:t>
      </w:r>
    </w:p>
    <w:p w14:paraId="431E1D19" w14:textId="77777777" w:rsidR="00597E58" w:rsidRPr="00CF2728" w:rsidRDefault="00000000">
      <w:pPr>
        <w:pBdr>
          <w:top w:val="nil"/>
          <w:left w:val="nil"/>
          <w:bottom w:val="nil"/>
          <w:right w:val="nil"/>
          <w:between w:val="nil"/>
        </w:pBdr>
        <w:spacing w:after="240" w:line="404" w:lineRule="auto"/>
        <w:jc w:val="right"/>
        <w:rPr>
          <w:sz w:val="20"/>
          <w:szCs w:val="20"/>
          <w:lang w:val="uk-UA"/>
        </w:rPr>
      </w:pPr>
      <w:r w:rsidRPr="00CF2728">
        <w:rPr>
          <w:sz w:val="20"/>
          <w:szCs w:val="20"/>
          <w:lang w:val="uk-UA"/>
        </w:rPr>
        <w:t>по роботі з великими платниками податків</w:t>
      </w:r>
    </w:p>
    <w:p w14:paraId="754F1734"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Державна податкова служба України з метою належного адміністрування податку на прибуток підприємств і забезпечення податкового контролю за справлянням цього податку повідомляє.</w:t>
      </w:r>
    </w:p>
    <w:p w14:paraId="763A1EE6"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Згідно із Законом України від 21 серпня 2025 року № 4577-ІХ «Про внесення змін до Податкового кодексу України та інших законів України щодо підтримки підприємств оборонно-промислового комплексу» (далі — Закон № 4577), який набрав чинності 05 жовтня 2025 року, Податковий кодекс України (далі — Кодекс) доповнено положеннями, що стосуються оподаткування податком на прибуток підприємств, зокрема в частині розширення кола платників цього податку.</w:t>
      </w:r>
    </w:p>
    <w:p w14:paraId="2EC044E2"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Відповідно до абзацу четвертого підпункту 133.1.1 пункту 133.1 статті 133 Кодексу платниками податку на прибуток підприємств — резидентами є юридичні особи — платники єдиного податку четвертої групи, які сплачують податок з доходів (прибутків), отриманих при здійсненні операцій 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w:t>
      </w:r>
    </w:p>
    <w:p w14:paraId="211F5829"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 xml:space="preserve">Згідно з підпунктом «е» пункту 137.5 статті 137 Кодексу для платників податку — юридичних осіб — платників єдиного податку четвертої групи встановлюється річний податковий (звітний) період для декларування доходів (прибутків), отриманих при здійсненні операцій з продажу або іншого </w:t>
      </w:r>
      <w:r w:rsidRPr="00CF2728">
        <w:rPr>
          <w:sz w:val="20"/>
          <w:szCs w:val="20"/>
          <w:lang w:val="uk-UA"/>
        </w:rPr>
        <w:lastRenderedPageBreak/>
        <w:t>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w:t>
      </w:r>
    </w:p>
    <w:p w14:paraId="4A85F05D"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Згідно з пунктом 14 підрозділу 8 розділу ХХ «Перехідні положення» Кодексу установлено, що протягом шести місяців з дня набрання чинності Законом № 4577 юридична особа — платник єдиного податку четвертої групи має право подати податкову декларацію з податку на прибуток підприємств за податкові (звітні) періоди 2022 рік, та/або 2023 рік, та/або 2024 рік, та/або 2025 рік та, у разі наявності за відповідний податковий (звітний) рік доходів (прибутків) від операцій 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 сплатити податок на прибуток у порядку та розмірі, встановлені розділом III Кодексу.</w:t>
      </w:r>
    </w:p>
    <w:p w14:paraId="0F6306F7"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 xml:space="preserve">У разі виконання юридичною особою — платником єдиного податку четвертої групи податкових обов’язків згідно з абзацом першим цього пункту при розрахунку частки сільськогосподарського </w:t>
      </w:r>
      <w:proofErr w:type="spellStart"/>
      <w:r w:rsidRPr="00CF2728">
        <w:rPr>
          <w:sz w:val="20"/>
          <w:szCs w:val="20"/>
          <w:lang w:val="uk-UA"/>
        </w:rPr>
        <w:t>товаровиробництва</w:t>
      </w:r>
      <w:proofErr w:type="spellEnd"/>
      <w:r w:rsidRPr="00CF2728">
        <w:rPr>
          <w:sz w:val="20"/>
          <w:szCs w:val="20"/>
          <w:lang w:val="uk-UA"/>
        </w:rPr>
        <w:t xml:space="preserve"> такого платника податку до загальної суми доходу сільськогосподарського товаровиробника за відповідний податковий (звітний) рік не включаються відповідні доходи (прибутки) від операцій з продажу або іншого відчуження цінних паперів та доходи, отримані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розраховані за правилами бухгалтерського обліку.</w:t>
      </w:r>
    </w:p>
    <w:p w14:paraId="650EE9C6"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Відповідно до пункту 46.6 статті 46 Кодексу, якщо в результаті запровадження нового податку або зміни правил оподаткування змінюються форми податкової звітності, центральний орган виконавчої влади, що забезпечує формування та реалізує державну фінансову політику, який затвердив такі форми, зобов’язаний оприлюднити нові форми звітності.</w:t>
      </w:r>
    </w:p>
    <w:p w14:paraId="082B4C0A"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До визначення нових форм декларацій (розрахунків), які набирають чинності для складання звітності за податковий період, що настає за податковим періодом, у якому відбулося їх оприлюднення, є чинними форми декларацій (розрахунків), чинні до такого визначення.</w:t>
      </w:r>
    </w:p>
    <w:p w14:paraId="0010DFD2"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 xml:space="preserve">Згідно з пунктом 46.4 статті 46 Кодексу, якщо платник податків вважає, що форма податкової </w:t>
      </w:r>
      <w:r w:rsidRPr="00CF2728">
        <w:rPr>
          <w:sz w:val="20"/>
          <w:szCs w:val="20"/>
          <w:lang w:val="uk-UA"/>
        </w:rPr>
        <w:lastRenderedPageBreak/>
        <w:t>декларації, визначена центральним органом виконавчої влади, що забезпечує формування та реалізує державну фінансову політику, збільшує або зменшує його податкові зобов’язання, всупереч нормам Кодексу з такого податку чи збору, він має право зазначити цей факт у спеціально відведеному місці в податковій декларації.</w:t>
      </w:r>
    </w:p>
    <w:p w14:paraId="22673A02"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У разі необхідності платник податків може подати разом з такою податковою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доповнення подається з поясненням мотивів його подання. Платник податків, який подає звітність в електронній формі, подає таке доповнення в електронній формі.</w:t>
      </w:r>
    </w:p>
    <w:p w14:paraId="6D29137A"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Відповідно до пункту 46.2 статті 46 Кодексу платник податку на прибуток подає разом з відповідною податковою декларацією квартальну або річну фінансову звітність у порядку, передбаченому для подання податкової декларації з урахуванням вимог статті 137 Кодексу.</w:t>
      </w:r>
    </w:p>
    <w:p w14:paraId="5BDD1200"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Фінансова звітність або звіт про фінансовий стан (баланс) та звіт про прибутки та збитки та інший сукупний дохід (звіт про фінансові результати) є додатком до податкової декларації з податку на прибуток підприємств та її невід’ємною частиною.</w:t>
      </w:r>
    </w:p>
    <w:p w14:paraId="4B086C61"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Форму Податкової декларації з податку на прибуток підприємств затверджено наказом Міністерства фінансів України від 20.10.2015 № 897, зареєстрованим у Міністерстві юстиції України 11.11.2015 за № 1415/27860 (у редакції наказу Міністерства фінансів України від 20.02.2023 № 101) (далі — Декларація).</w:t>
      </w:r>
    </w:p>
    <w:p w14:paraId="1D32B209"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Враховуючи зазначене, для декларування податку на прибуток підприємств із доходів (прибутків) від операцій із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за податкові (звітні) періоди 2022—2025 років, рекомендуємо платникам єдиного податку четвертої групи — юридичним особам використовувати форму Декларації, яка є чинною на дату її подання, і разом із Декларацією подати річну фінансову звітність за відповідний звітний рік.</w:t>
      </w:r>
    </w:p>
    <w:p w14:paraId="3CE4D338"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Під час складання відповідної Декларації юридичній особі — платнику єдиного податку четвертої групи рекомендуємо відображати відповідні показники і відомості в такому порядку:</w:t>
      </w:r>
    </w:p>
    <w:p w14:paraId="3187DDEA"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 xml:space="preserve">у рядку 10 «Особливі відмітки» Декларації проставляється відмітка в рядку «суб’єкта </w:t>
      </w:r>
      <w:r w:rsidRPr="00CF2728">
        <w:rPr>
          <w:sz w:val="20"/>
          <w:szCs w:val="20"/>
          <w:lang w:val="uk-UA"/>
        </w:rPr>
        <w:lastRenderedPageBreak/>
        <w:t>господарювання — юридичної особи, яка обрала спрощену систему оподаткування»;</w:t>
      </w:r>
    </w:p>
    <w:p w14:paraId="44593A4A"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у рядку 01 Декларації зазначається сума річного доходу від будь-якої діяльності (за вирахуванням непрямих податків), визначеного за правилами бухгалтерського обліку. До річного доходу від будь-якої діяльності, визначеного за правилами бухгалтерського обліку, включається дохід (виручка) від реалізації продукції (товарів, робіт, послуг), інші операційні доходи, фінансові доходи та інші доходи (підпункт 134.1.1 пункту 134.1 статті 134 Кодексу);</w:t>
      </w:r>
    </w:p>
    <w:p w14:paraId="2E1E1262"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у рядку 02 Декларації зазначається сума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розрахованих за правилами бухгалтерського обліку;</w:t>
      </w:r>
    </w:p>
    <w:p w14:paraId="52B409D9"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у рядку 03 РІ Декларації — сума доходів (прибутків) від операцій із продажу або іншого відчуження цінних паперів, розрахованих за правилами бухгалтерського обліку.</w:t>
      </w:r>
    </w:p>
    <w:p w14:paraId="5FEAB846"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Крім цього, для визначення показника щодо отриманих сум доходів (прибутків) від операцій із продажу або іншого відчуження цінних паперів платники мають скласти і подати у складі Декларації:</w:t>
      </w:r>
    </w:p>
    <w:p w14:paraId="4AAC4B97"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додаток РІ до рядка 03 РІ Декларації (далі — Додаток РІ);</w:t>
      </w:r>
    </w:p>
    <w:p w14:paraId="4EDCCADA"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додаток ЦП до рядків 4.1.3 ЦП, 4.1.4 ЦП додатка РІ до рядка 03 РІ Декларації (далі — Додаток ЦП).</w:t>
      </w:r>
    </w:p>
    <w:p w14:paraId="075EF5B9"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у рядку 04 Декларації зазначається об’єкт оподаткування, що дорівнює підсумку показників рядків 02 та 03 РІ Декларації;</w:t>
      </w:r>
    </w:p>
    <w:p w14:paraId="61057C98"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у рядку 06 Декларації визначається сума податку на прибуток (показник рядка 04 Декларації х 18 (базова ставка податку) / 100);</w:t>
      </w:r>
    </w:p>
    <w:p w14:paraId="2A89AA83"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у рядку 17 Декларації зазначається податок на прибуток за звітний (податковий) період (рік);</w:t>
      </w:r>
    </w:p>
    <w:p w14:paraId="7E5F2E84"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у рядку 19 Декларації зазначається нарахований податок на прибуток, що дорівнює показнику рядка 17 Декларації.</w:t>
      </w:r>
    </w:p>
    <w:p w14:paraId="2488705F"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 xml:space="preserve">У таблиці «Наявність додатків13» Декларації проставляються позначки «+» у відповідних клітинках «РІ», «ЦП», «ФЗ15» щодо подання у складі Декларації Додатка РІ, Додатка ЦП і фінансової звітності, складеної відповідно до національних положень (стандартів) бухгалтерського обліку </w:t>
      </w:r>
      <w:r w:rsidRPr="00CF2728">
        <w:rPr>
          <w:sz w:val="20"/>
          <w:szCs w:val="20"/>
          <w:lang w:val="uk-UA"/>
        </w:rPr>
        <w:lastRenderedPageBreak/>
        <w:t>(проставляється позначка «НП(С)БО») або міжнародних стандартів фінансової звітності (проставляється позначка «МСФЗ»).</w:t>
      </w:r>
    </w:p>
    <w:p w14:paraId="214BAE14"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У таблиці «Наявність поданих до Податкової декларації з податку на прибуток підприємств додатків — форм фінансової звітності15» Декларації у відповідних клітинках проставляються позначки «+» щодо поданих разом із Декларацією форм фінансової звітності за відповідний звітний рік.</w:t>
      </w:r>
    </w:p>
    <w:p w14:paraId="6F61E644"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У таблиці «Наявність доповнення18» Декларації проставляється позначка про надання доповнення, у якому платник пояснює невідповідність показника, зазначеного в рядку 02 Декларації, щодо суми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показника фінансового результату до оподаткування (прибуток або збиток), визначеного у фінансовій звітності.</w:t>
      </w:r>
    </w:p>
    <w:p w14:paraId="19CBB6F7"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Щодо складення додатків РІ та ЦП до Декларації</w:t>
      </w:r>
    </w:p>
    <w:p w14:paraId="3736E9BD"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Додаток ЦП має складатися платниками єдиного податку четвертої групи — юридичними особами для відображення доходів (прибутків) від операцій із продажу або іншого відчуження цінних паперів, із зазначенням відповідних показників:</w:t>
      </w:r>
    </w:p>
    <w:p w14:paraId="50B1C07D"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у рядку 01 Додатка ЦП відображається дохід від продажу та інших способів відчуження цінних паперів, із розшифровкою таких доходів за видами цінних паперів у рядках 01.1—01.11 Додатка ЦП;</w:t>
      </w:r>
    </w:p>
    <w:p w14:paraId="4E326A87"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у рядку 02 Додатка ЦП відображаються витрати, пов’язані із придбанням цінних паперів, і розшифровкою за видами цінних паперів у рядках 02.1—02.11 Додатка ЦП;</w:t>
      </w:r>
    </w:p>
    <w:p w14:paraId="7F2DA531"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у рядку 4.1.4 РІ Додатка ЦП зазначається фінансовий результат від продажу та інших способів відчуження цінних паперів (зазначається позитивне значення (рядок 01 — рядок 02)). Показник рядка 4.1.4 РІ Додатка ЦП переноситься в рядок 4.1.4 ЦП Додатка РІ.</w:t>
      </w:r>
    </w:p>
    <w:p w14:paraId="15273513"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Зазначаємо, що рядки 01.12 ТЦ, 01.13, 02.12 ТЦ, 02.13, 03, 4.1.3 РІ, 4.1.3.1, 4.1.3.2, 04 Додатка ЦП не заповнюються.</w:t>
      </w:r>
    </w:p>
    <w:p w14:paraId="1C2BDF83"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Додаток РІ складається з метою перенесення до рядка 03 РІ Декларації показника щодо отриманих доходів (прибутків) від операцій із продажу або іншого відчуження цінних паперів, а саме:</w:t>
      </w:r>
    </w:p>
    <w:p w14:paraId="5A2A749D"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lastRenderedPageBreak/>
        <w:t>у рядку 4.1.4 ЦП Додатка РІ зазначається фінансовий результат від продажу та інших способів відчуження цінних паперів, що дорівнює показнику рядка 4.1.4 РІ Додатка ЦП;</w:t>
      </w:r>
    </w:p>
    <w:p w14:paraId="29C88493"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у рядках 01 та 03 Додатка РІ також зазначається сума, що дорівнює показнику рядка 4.1.4 ЦП Додатка РІ.</w:t>
      </w:r>
    </w:p>
    <w:p w14:paraId="0C92D791"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Значення рядка 03 Додатка РІ переноситься до рядка 03 РІ Декларації.</w:t>
      </w:r>
    </w:p>
    <w:p w14:paraId="7864992F"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Якщо платник єдиного податку четвертої групи — юридична особа декларував за податкові (звітні) періоди 2022—2024 років податок на прибуток підприємств під час виплати доходів (прибутків) нерезиденту із джерелом їх походження з України в порядку, визначеному згідно з пунктом 141.4 статті 141 Кодексу, та/або під час отримання скоригованого прибутку контрольованої іноземної компанії, що оподатковується в порядку, визначеному у статті 392 Кодексу, і вже подавав Декларацію за відповідні податкові (звітні) періоди, такий платник може подати уточнюючі Декларації за такі податкові (звітні) періоди із відображенням відповідно до пункту 14 підрозділу 8 розділу ХХ «Перехідні положення» Кодексу доходів (прибутків) від операцій із продажу або іншого відчуження цінних паперів і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w:t>
      </w:r>
    </w:p>
    <w:p w14:paraId="4655932A"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У таких уточнюючих деклараціях необхідно відобразити як раніше задекларовані показники, так і показники доходів (прибутків) від операцій із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без нарахування і сплати штрафних санкцій, передбачених згідно з пунктом 50.1 статті 50 Кодексу, і пені.</w:t>
      </w:r>
    </w:p>
    <w:p w14:paraId="5BFB8C18"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 xml:space="preserve">До таких уточнюючих декларацій мають бути подані всі додатки до відповідних рядків Декларацій, річна фінансова звітність і доповнення із поясненням задекларованих показників і </w:t>
      </w:r>
      <w:proofErr w:type="spellStart"/>
      <w:r w:rsidRPr="00CF2728">
        <w:rPr>
          <w:sz w:val="20"/>
          <w:szCs w:val="20"/>
          <w:lang w:val="uk-UA"/>
        </w:rPr>
        <w:t>ненарахування</w:t>
      </w:r>
      <w:proofErr w:type="spellEnd"/>
      <w:r w:rsidRPr="00CF2728">
        <w:rPr>
          <w:sz w:val="20"/>
          <w:szCs w:val="20"/>
          <w:lang w:val="uk-UA"/>
        </w:rPr>
        <w:t xml:space="preserve"> штрафних санкцій, передбачених у пункті 50.1 статті 50 Кодексу, і пені щодо сум податкового зобов’язання з податку на прибуток, визначеного і задекларованого відповідно до пункту 14 підрозділу 8 розділу ХХ «Перехідні положення» Кодексу.</w:t>
      </w:r>
    </w:p>
    <w:p w14:paraId="5C3A6CC1" w14:textId="77777777" w:rsidR="00597E58" w:rsidRPr="00CF2728" w:rsidRDefault="00000000">
      <w:pPr>
        <w:pBdr>
          <w:top w:val="nil"/>
          <w:left w:val="nil"/>
          <w:bottom w:val="nil"/>
          <w:right w:val="nil"/>
          <w:between w:val="nil"/>
        </w:pBdr>
        <w:spacing w:after="240" w:line="404" w:lineRule="auto"/>
        <w:rPr>
          <w:sz w:val="20"/>
          <w:szCs w:val="20"/>
          <w:lang w:val="uk-UA"/>
        </w:rPr>
      </w:pPr>
      <w:r w:rsidRPr="00CF2728">
        <w:rPr>
          <w:sz w:val="20"/>
          <w:szCs w:val="20"/>
          <w:lang w:val="uk-UA"/>
        </w:rPr>
        <w:t>Головним управлінням ДПС в областях, м. Києві та міжрегіональним управлінням ДПС по роботі з великими платниками податків довести цей лист до відома платників податку і підпорядкованих підрозділів для використання в роботі надалі.</w:t>
      </w:r>
    </w:p>
    <w:p w14:paraId="486B0181" w14:textId="77777777" w:rsidR="00597E58" w:rsidRPr="00CF2728" w:rsidRDefault="00000000" w:rsidP="00CF2728">
      <w:pPr>
        <w:pBdr>
          <w:top w:val="nil"/>
          <w:left w:val="nil"/>
          <w:bottom w:val="nil"/>
          <w:right w:val="nil"/>
          <w:between w:val="nil"/>
        </w:pBdr>
        <w:spacing w:line="404" w:lineRule="auto"/>
        <w:jc w:val="right"/>
        <w:rPr>
          <w:sz w:val="20"/>
          <w:szCs w:val="20"/>
          <w:lang w:val="uk-UA"/>
        </w:rPr>
      </w:pPr>
      <w:r w:rsidRPr="00CF2728">
        <w:rPr>
          <w:sz w:val="20"/>
          <w:szCs w:val="20"/>
          <w:lang w:val="uk-UA"/>
        </w:rPr>
        <w:lastRenderedPageBreak/>
        <w:t>Заступник Голови</w:t>
      </w:r>
    </w:p>
    <w:p w14:paraId="4C258017" w14:textId="77777777" w:rsidR="00597E58" w:rsidRPr="00CF2728" w:rsidRDefault="00000000" w:rsidP="00CF2728">
      <w:pPr>
        <w:pBdr>
          <w:top w:val="nil"/>
          <w:left w:val="nil"/>
          <w:bottom w:val="nil"/>
          <w:right w:val="nil"/>
          <w:between w:val="nil"/>
        </w:pBdr>
        <w:spacing w:after="240" w:line="404" w:lineRule="auto"/>
        <w:jc w:val="right"/>
        <w:rPr>
          <w:sz w:val="20"/>
          <w:szCs w:val="20"/>
          <w:lang w:val="uk-UA"/>
        </w:rPr>
      </w:pPr>
      <w:r w:rsidRPr="00CF2728">
        <w:rPr>
          <w:sz w:val="20"/>
          <w:szCs w:val="20"/>
          <w:lang w:val="uk-UA"/>
        </w:rPr>
        <w:t>Т. Чернецька</w:t>
      </w:r>
    </w:p>
    <w:p w14:paraId="55AFBE1B" w14:textId="77777777" w:rsidR="00597E58" w:rsidRPr="00CF2728" w:rsidRDefault="00597E58">
      <w:pPr>
        <w:pBdr>
          <w:top w:val="nil"/>
          <w:left w:val="nil"/>
          <w:bottom w:val="nil"/>
          <w:right w:val="nil"/>
          <w:between w:val="nil"/>
        </w:pBdr>
        <w:spacing w:line="404" w:lineRule="auto"/>
        <w:rPr>
          <w:sz w:val="20"/>
          <w:szCs w:val="20"/>
          <w:lang w:val="uk-UA"/>
        </w:rPr>
      </w:pPr>
    </w:p>
    <w:sectPr w:rsidR="00597E58" w:rsidRPr="00CF2728">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A2B948E3-F2E5-403F-90B4-7829E6588284}"/>
  </w:font>
  <w:font w:name="Noto Sans">
    <w:charset w:val="00"/>
    <w:family w:val="swiss"/>
    <w:pitch w:val="variable"/>
    <w:sig w:usb0="E00082FF" w:usb1="400078FF" w:usb2="00000021" w:usb3="00000000" w:csb0="0000019F" w:csb1="00000000"/>
    <w:embedBold r:id="rId2" w:fontKey="{05C1D795-625F-404D-8B8A-44CE10FDE243}"/>
  </w:font>
  <w:font w:name="Calibri">
    <w:panose1 w:val="020F0502020204030204"/>
    <w:charset w:val="CC"/>
    <w:family w:val="swiss"/>
    <w:pitch w:val="variable"/>
    <w:sig w:usb0="E4002EFF" w:usb1="C200247B" w:usb2="00000009" w:usb3="00000000" w:csb0="000001FF" w:csb1="00000000"/>
    <w:embedRegular r:id="rId3" w:fontKey="{E0B87DC1-C9E4-45DC-8C4D-B6370A7CD91E}"/>
  </w:font>
  <w:font w:name="Cambria">
    <w:panose1 w:val="02040503050406030204"/>
    <w:charset w:val="CC"/>
    <w:family w:val="roman"/>
    <w:pitch w:val="variable"/>
    <w:sig w:usb0="E00006FF" w:usb1="420024FF" w:usb2="02000000" w:usb3="00000000" w:csb0="0000019F" w:csb1="00000000"/>
    <w:embedRegular r:id="rId4" w:fontKey="{0223F417-4D78-44E2-923D-61B5D4E4B8C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E58"/>
    <w:rsid w:val="00597E58"/>
    <w:rsid w:val="00A3684F"/>
    <w:rsid w:val="00CF272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37C17"/>
  <w15:docId w15:val="{036082BB-BA61-4DF1-88F1-EDFF30F2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UA" w:eastAsia="ru-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2012</Words>
  <Characters>11474</Characters>
  <Application>Microsoft Office Word</Application>
  <DocSecurity>0</DocSecurity>
  <Lines>95</Lines>
  <Paragraphs>26</Paragraphs>
  <ScaleCrop>false</ScaleCrop>
  <Company/>
  <LinksUpToDate>false</LinksUpToDate>
  <CharactersWithSpaces>13460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Наталія Чепіга</dc:creator>
  <cp:lastModifiedBy>Наталія Чепіга</cp:lastModifiedBy>
  <cp:revision>2</cp:revision>
  <dcterms:created xsi:type="dcterms:W3CDTF">2026-02-03T09:36:00Z</dcterms:created>
  <dcterms:modified xsi:type="dcterms:W3CDTF">2026-02-03T09:36:00Z</dcterms:modified>
</cp:coreProperties>
</file>