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A5" w:rsidRDefault="000C64A5" w:rsidP="000C64A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proofErr w:type="spellStart"/>
      <w:proofErr w:type="gram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Чи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</w:t>
      </w:r>
      <w:proofErr w:type="gram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є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право ФОП на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загальній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системі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оподаткування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включити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вартість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монтажних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та/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або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налагоджувальних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робіт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до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первісної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обладнання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) з метою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нарахування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амортизаційних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відрахувань</w:t>
      </w:r>
      <w:proofErr w:type="spellEnd"/>
      <w:r w:rsidRPr="000C64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?</w:t>
      </w:r>
    </w:p>
    <w:p w:rsidR="000C64A5" w:rsidRPr="000C64A5" w:rsidRDefault="000C64A5" w:rsidP="000C64A5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ЗІР 104.05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4A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ст. 177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2010 року № 2755-VI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– ПКУ).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 п. 177.2 ст. 177 ПКУ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оподатковуваний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оподатковуваним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доходом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 і документально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підтвердженими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господарською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особою –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ідприємцем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п. 177.4 ст. 177 ПКУ.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ідпунктом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14.1.3 п. 14.1 ст. 14 ПКУ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амортизується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).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r w:rsidRPr="000C64A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є –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запаси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незавершених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6000 грн.,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невиробничих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6000 грн. і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моральним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зносом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очікуваний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операційний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цикл,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довший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 14.1.138 п. 14.1 ст. 14 ПКУ).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нормами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. 177.4.6 п. 177.4 ст. 177 ПКУ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право (за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провадженням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амортизаційні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lastRenderedPageBreak/>
        <w:t>веденням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r w:rsidRPr="000C64A5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 абзацу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сьомого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п. 8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(стандарту)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7 «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27.04.2000 № 92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первісної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установку, монтаж,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r w:rsidRPr="000C64A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ремонту,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r w:rsidRPr="000C64A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легкові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вантажні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прямолінійного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діленням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первісної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амортизується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на строк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 177.4.7 п. 177.4 ст. 177 ПКУ).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установленого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4A5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допустимого строку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>. 177.4.9 п. 177.4 ст. 177 ПКУ).</w:t>
      </w:r>
    </w:p>
    <w:p w:rsidR="000C64A5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. 177.4.9 п. 177.4 ст. 177 ПКУ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ідтверджені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документально.</w:t>
      </w:r>
    </w:p>
    <w:p w:rsidR="00A12CDE" w:rsidRPr="000C64A5" w:rsidRDefault="000C64A5" w:rsidP="000C64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особа – </w:t>
      </w:r>
      <w:proofErr w:type="spellStart"/>
      <w:proofErr w:type="gramStart"/>
      <w:r w:rsidRPr="000C6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64A5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монтажних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налагоджувальних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первісної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амортизаційних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0C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4A5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0C64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C64A5">
        <w:rPr>
          <w:rFonts w:ascii="Times New Roman" w:hAnsi="Times New Roman" w:cs="Times New Roman"/>
          <w:sz w:val="28"/>
          <w:szCs w:val="28"/>
        </w:rPr>
        <w:t>.</w:t>
      </w:r>
    </w:p>
    <w:sectPr w:rsidR="00A12CDE" w:rsidRPr="000C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7A"/>
    <w:rsid w:val="000C64A5"/>
    <w:rsid w:val="002E527A"/>
    <w:rsid w:val="00333439"/>
    <w:rsid w:val="004513D5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2018-08-27T12:57:00Z</dcterms:created>
  <dcterms:modified xsi:type="dcterms:W3CDTF">2018-08-27T12:59:00Z</dcterms:modified>
</cp:coreProperties>
</file>